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1350D4" w:rsidTr="00070280">
        <w:tc>
          <w:tcPr>
            <w:tcW w:w="9060" w:type="dxa"/>
          </w:tcPr>
          <w:p w:rsidR="001350D4" w:rsidRDefault="001350D4" w:rsidP="00070280">
            <w:pPr>
              <w:spacing w:line="276" w:lineRule="auto"/>
              <w:jc w:val="center"/>
              <w:rPr>
                <w:rFonts w:asciiTheme="majorBidi" w:hAnsiTheme="majorBidi" w:cstheme="majorBidi"/>
                <w:b/>
                <w:bCs/>
                <w:sz w:val="32"/>
                <w:szCs w:val="32"/>
              </w:rPr>
            </w:pPr>
            <w:r>
              <w:rPr>
                <w:rFonts w:asciiTheme="majorBidi" w:hAnsiTheme="majorBidi" w:cstheme="majorBidi"/>
                <w:b/>
                <w:bCs/>
                <w:sz w:val="32"/>
                <w:szCs w:val="32"/>
              </w:rPr>
              <w:t>Université Ferhat Abbas Sétif - 1</w:t>
            </w:r>
          </w:p>
          <w:p w:rsidR="001350D4" w:rsidRDefault="001350D4" w:rsidP="00070280">
            <w:pPr>
              <w:spacing w:line="276" w:lineRule="auto"/>
              <w:jc w:val="center"/>
              <w:rPr>
                <w:rFonts w:asciiTheme="majorBidi" w:hAnsiTheme="majorBidi" w:cstheme="majorBidi"/>
                <w:sz w:val="24"/>
                <w:szCs w:val="24"/>
              </w:rPr>
            </w:pPr>
            <w:r>
              <w:rPr>
                <w:rFonts w:asciiTheme="majorBidi" w:hAnsiTheme="majorBidi" w:cstheme="majorBidi"/>
                <w:sz w:val="32"/>
                <w:szCs w:val="32"/>
              </w:rPr>
              <w:t xml:space="preserve">Département : </w:t>
            </w:r>
            <w:r>
              <w:rPr>
                <w:rFonts w:asciiTheme="majorBidi" w:hAnsiTheme="majorBidi" w:cstheme="majorBidi"/>
                <w:b/>
                <w:iCs/>
                <w:sz w:val="32"/>
                <w:szCs w:val="32"/>
              </w:rPr>
              <w:t>Microbiologie</w:t>
            </w:r>
          </w:p>
        </w:tc>
      </w:tr>
    </w:tbl>
    <w:p w:rsidR="001350D4" w:rsidRDefault="001350D4" w:rsidP="001350D4">
      <w:pPr>
        <w:spacing w:line="276" w:lineRule="auto"/>
        <w:rPr>
          <w:rFonts w:asciiTheme="majorBidi" w:hAnsiTheme="majorBidi" w:cstheme="majorBidi"/>
          <w:sz w:val="24"/>
          <w:szCs w:val="24"/>
        </w:rPr>
      </w:pPr>
    </w:p>
    <w:tbl>
      <w:tblPr>
        <w:tblStyle w:val="Grilledutableau"/>
        <w:tblW w:w="0" w:type="auto"/>
        <w:tblLook w:val="04A0" w:firstRow="1" w:lastRow="0" w:firstColumn="1" w:lastColumn="0" w:noHBand="0" w:noVBand="1"/>
      </w:tblPr>
      <w:tblGrid>
        <w:gridCol w:w="9060"/>
      </w:tblGrid>
      <w:tr w:rsidR="001350D4" w:rsidTr="00070280">
        <w:tc>
          <w:tcPr>
            <w:tcW w:w="9062" w:type="dxa"/>
            <w:shd w:val="clear" w:color="auto" w:fill="F2F2F2" w:themeFill="background1" w:themeFillShade="F2"/>
          </w:tcPr>
          <w:p w:rsidR="001350D4" w:rsidRDefault="001350D4" w:rsidP="00070280">
            <w:pPr>
              <w:spacing w:line="276" w:lineRule="auto"/>
              <w:jc w:val="center"/>
              <w:rPr>
                <w:rFonts w:asciiTheme="majorBidi" w:hAnsiTheme="majorBidi" w:cstheme="majorBidi"/>
                <w:b/>
                <w:bCs/>
                <w:sz w:val="24"/>
                <w:szCs w:val="24"/>
              </w:rPr>
            </w:pPr>
            <w:r>
              <w:rPr>
                <w:rFonts w:asciiTheme="majorBidi" w:hAnsiTheme="majorBidi" w:cstheme="majorBidi"/>
                <w:b/>
                <w:bCs/>
                <w:sz w:val="24"/>
                <w:szCs w:val="24"/>
              </w:rPr>
              <w:t>SYLLABUS DE LA MATIERE :</w:t>
            </w:r>
          </w:p>
          <w:p w:rsidR="001350D4" w:rsidRDefault="001350D4" w:rsidP="00070280">
            <w:pPr>
              <w:spacing w:line="276" w:lineRule="auto"/>
              <w:jc w:val="center"/>
              <w:rPr>
                <w:rFonts w:asciiTheme="majorBidi" w:hAnsiTheme="majorBidi" w:cstheme="majorBidi"/>
                <w:b/>
                <w:bCs/>
                <w:sz w:val="24"/>
                <w:szCs w:val="24"/>
              </w:rPr>
            </w:pPr>
            <w:r>
              <w:rPr>
                <w:rFonts w:asciiTheme="majorBidi" w:hAnsiTheme="majorBidi" w:cstheme="majorBidi"/>
                <w:b/>
                <w:bCs/>
                <w:sz w:val="24"/>
                <w:szCs w:val="24"/>
              </w:rPr>
              <w:t>(à publier dans le site Web de l’institution)</w:t>
            </w:r>
          </w:p>
        </w:tc>
      </w:tr>
      <w:tr w:rsidR="001350D4" w:rsidTr="00070280">
        <w:tc>
          <w:tcPr>
            <w:tcW w:w="9062" w:type="dxa"/>
          </w:tcPr>
          <w:p w:rsidR="001350D4" w:rsidRDefault="001350D4" w:rsidP="00070280">
            <w:pPr>
              <w:spacing w:line="276" w:lineRule="auto"/>
              <w:jc w:val="center"/>
              <w:rPr>
                <w:rFonts w:asciiTheme="majorBidi" w:hAnsiTheme="majorBidi" w:cstheme="majorBidi"/>
                <w:sz w:val="32"/>
                <w:szCs w:val="32"/>
              </w:rPr>
            </w:pPr>
            <w:r>
              <w:rPr>
                <w:rFonts w:asciiTheme="majorBidi" w:hAnsiTheme="majorBidi" w:cstheme="majorBidi"/>
                <w:b/>
                <w:bCs/>
                <w:i/>
                <w:iCs/>
                <w:sz w:val="32"/>
                <w:szCs w:val="32"/>
              </w:rPr>
              <w:t>Toxicologie et pharmacologie</w:t>
            </w:r>
          </w:p>
          <w:p w:rsidR="001350D4" w:rsidRDefault="001350D4" w:rsidP="00070280">
            <w:pPr>
              <w:spacing w:line="276" w:lineRule="auto"/>
              <w:jc w:val="center"/>
              <w:rPr>
                <w:rFonts w:asciiTheme="majorBidi" w:hAnsiTheme="majorBidi" w:cstheme="majorBidi"/>
                <w:sz w:val="24"/>
                <w:szCs w:val="24"/>
              </w:rPr>
            </w:pPr>
            <w:r>
              <w:rPr>
                <w:rFonts w:asciiTheme="majorBidi" w:hAnsiTheme="majorBidi" w:cstheme="majorBidi"/>
                <w:sz w:val="32"/>
                <w:szCs w:val="32"/>
              </w:rPr>
              <w:t>(COURS + TRAVAUX DIRIGES)</w:t>
            </w:r>
          </w:p>
        </w:tc>
      </w:tr>
    </w:tbl>
    <w:p w:rsidR="001350D4" w:rsidRDefault="001350D4" w:rsidP="001350D4">
      <w:pPr>
        <w:spacing w:line="276" w:lineRule="auto"/>
        <w:rPr>
          <w:rFonts w:asciiTheme="majorBidi" w:hAnsiTheme="majorBidi" w:cstheme="majorBidi"/>
          <w:sz w:val="24"/>
          <w:szCs w:val="24"/>
        </w:rPr>
      </w:pPr>
    </w:p>
    <w:tbl>
      <w:tblPr>
        <w:tblStyle w:val="Grilledutableau"/>
        <w:tblW w:w="9322" w:type="dxa"/>
        <w:tblLook w:val="04A0" w:firstRow="1" w:lastRow="0" w:firstColumn="1" w:lastColumn="0" w:noHBand="0" w:noVBand="1"/>
      </w:tblPr>
      <w:tblGrid>
        <w:gridCol w:w="1519"/>
        <w:gridCol w:w="2587"/>
        <w:gridCol w:w="1433"/>
        <w:gridCol w:w="1544"/>
        <w:gridCol w:w="1036"/>
        <w:gridCol w:w="1203"/>
      </w:tblGrid>
      <w:tr w:rsidR="001350D4" w:rsidTr="00070280">
        <w:trPr>
          <w:trHeight w:val="547"/>
        </w:trPr>
        <w:tc>
          <w:tcPr>
            <w:tcW w:w="4106" w:type="dxa"/>
            <w:gridSpan w:val="2"/>
            <w:vMerge w:val="restart"/>
            <w:shd w:val="clear" w:color="auto" w:fill="F2F2F2" w:themeFill="background1" w:themeFillShade="F2"/>
            <w:vAlign w:val="center"/>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sz w:val="24"/>
                <w:szCs w:val="24"/>
              </w:rPr>
              <w:t>ENSEIGNANT DU COURS MAGISTRAL</w:t>
            </w:r>
          </w:p>
        </w:tc>
        <w:tc>
          <w:tcPr>
            <w:tcW w:w="5216" w:type="dxa"/>
            <w:gridSpan w:val="4"/>
            <w:shd w:val="clear" w:color="auto" w:fill="F2F2F2" w:themeFill="background1" w:themeFillShade="F2"/>
            <w:vAlign w:val="center"/>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8"/>
                <w:szCs w:val="28"/>
              </w:rPr>
              <w:t>L’enseignante : Hadjira Sabrina</w:t>
            </w:r>
          </w:p>
        </w:tc>
      </w:tr>
      <w:tr w:rsidR="001350D4" w:rsidTr="00070280">
        <w:tc>
          <w:tcPr>
            <w:tcW w:w="4106" w:type="dxa"/>
            <w:gridSpan w:val="2"/>
            <w:vMerge/>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p>
        </w:tc>
        <w:tc>
          <w:tcPr>
            <w:tcW w:w="5216" w:type="dxa"/>
            <w:gridSpan w:val="4"/>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Réception des étudiants par semaine</w:t>
            </w:r>
          </w:p>
        </w:tc>
      </w:tr>
      <w:tr w:rsidR="001350D4" w:rsidTr="00070280">
        <w:tc>
          <w:tcPr>
            <w:tcW w:w="1519"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Email </w:t>
            </w:r>
          </w:p>
        </w:tc>
        <w:tc>
          <w:tcPr>
            <w:tcW w:w="2587"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b/>
                <w:bCs/>
                <w:sz w:val="24"/>
                <w:szCs w:val="24"/>
                <w:shd w:val="clear" w:color="auto" w:fill="FFFFFF"/>
              </w:rPr>
              <w:t>sabrina.hadjira@univ-setif.dz</w:t>
            </w:r>
          </w:p>
        </w:tc>
        <w:tc>
          <w:tcPr>
            <w:tcW w:w="1433"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Jour :                         </w:t>
            </w:r>
          </w:p>
        </w:tc>
        <w:tc>
          <w:tcPr>
            <w:tcW w:w="1544"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Dimanche</w:t>
            </w:r>
          </w:p>
        </w:tc>
        <w:tc>
          <w:tcPr>
            <w:tcW w:w="1036"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c>
          <w:tcPr>
            <w:tcW w:w="1203" w:type="dxa"/>
          </w:tcPr>
          <w:p w:rsidR="001350D4" w:rsidRDefault="001350D4" w:rsidP="00070280">
            <w:pPr>
              <w:spacing w:line="276" w:lineRule="auto"/>
              <w:rPr>
                <w:rFonts w:asciiTheme="majorBidi" w:hAnsiTheme="majorBidi" w:cstheme="majorBidi"/>
                <w:sz w:val="24"/>
                <w:szCs w:val="24"/>
              </w:rPr>
            </w:pPr>
            <w:r>
              <w:t>De 8h00 à 9h30</w:t>
            </w:r>
          </w:p>
        </w:tc>
      </w:tr>
      <w:tr w:rsidR="001350D4" w:rsidTr="00070280">
        <w:tc>
          <w:tcPr>
            <w:tcW w:w="1519"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Tél de bureau</w:t>
            </w:r>
          </w:p>
        </w:tc>
        <w:tc>
          <w:tcPr>
            <w:tcW w:w="2587"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c>
          <w:tcPr>
            <w:tcW w:w="1433"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Jour :                         </w:t>
            </w:r>
          </w:p>
        </w:tc>
        <w:tc>
          <w:tcPr>
            <w:tcW w:w="1544"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Mardi</w:t>
            </w:r>
          </w:p>
        </w:tc>
        <w:tc>
          <w:tcPr>
            <w:tcW w:w="1036"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c>
          <w:tcPr>
            <w:tcW w:w="1203" w:type="dxa"/>
          </w:tcPr>
          <w:p w:rsidR="001350D4" w:rsidRDefault="001350D4" w:rsidP="00070280">
            <w:pPr>
              <w:spacing w:line="276" w:lineRule="auto"/>
              <w:rPr>
                <w:rFonts w:asciiTheme="majorBidi" w:hAnsiTheme="majorBidi" w:cstheme="majorBidi"/>
                <w:sz w:val="24"/>
                <w:szCs w:val="24"/>
              </w:rPr>
            </w:pPr>
            <w:r>
              <w:t>De 8h00 à 9h30</w:t>
            </w:r>
          </w:p>
        </w:tc>
      </w:tr>
      <w:tr w:rsidR="001350D4" w:rsidTr="00070280">
        <w:tc>
          <w:tcPr>
            <w:tcW w:w="1519"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Tél secrétariat</w:t>
            </w:r>
          </w:p>
        </w:tc>
        <w:tc>
          <w:tcPr>
            <w:tcW w:w="2587"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c>
          <w:tcPr>
            <w:tcW w:w="1433"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Jour :                         </w:t>
            </w:r>
          </w:p>
        </w:tc>
        <w:tc>
          <w:tcPr>
            <w:tcW w:w="1544" w:type="dxa"/>
          </w:tcPr>
          <w:p w:rsidR="001350D4" w:rsidRDefault="001350D4" w:rsidP="00070280">
            <w:pPr>
              <w:spacing w:line="276" w:lineRule="auto"/>
              <w:rPr>
                <w:rFonts w:asciiTheme="majorBidi" w:hAnsiTheme="majorBidi" w:cstheme="majorBidi"/>
                <w:sz w:val="24"/>
                <w:szCs w:val="24"/>
              </w:rPr>
            </w:pPr>
          </w:p>
        </w:tc>
        <w:tc>
          <w:tcPr>
            <w:tcW w:w="1036"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c>
          <w:tcPr>
            <w:tcW w:w="1203" w:type="dxa"/>
          </w:tcPr>
          <w:p w:rsidR="001350D4" w:rsidRDefault="001350D4" w:rsidP="00070280">
            <w:pPr>
              <w:spacing w:line="276" w:lineRule="auto"/>
              <w:rPr>
                <w:rFonts w:asciiTheme="majorBidi" w:hAnsiTheme="majorBidi" w:cstheme="majorBidi"/>
                <w:sz w:val="24"/>
                <w:szCs w:val="24"/>
              </w:rPr>
            </w:pPr>
          </w:p>
        </w:tc>
      </w:tr>
      <w:tr w:rsidR="001350D4" w:rsidTr="00070280">
        <w:tc>
          <w:tcPr>
            <w:tcW w:w="1519"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Autre</w:t>
            </w:r>
          </w:p>
        </w:tc>
        <w:tc>
          <w:tcPr>
            <w:tcW w:w="2587" w:type="dxa"/>
          </w:tcPr>
          <w:p w:rsidR="001350D4" w:rsidRDefault="001350D4" w:rsidP="00070280">
            <w:pPr>
              <w:pStyle w:val="Default"/>
              <w:spacing w:line="276" w:lineRule="auto"/>
              <w:rPr>
                <w:rFonts w:asciiTheme="majorBidi" w:hAnsiTheme="majorBidi" w:cstheme="majorBidi"/>
                <w:b/>
                <w:bCs/>
              </w:rPr>
            </w:pPr>
            <w:r>
              <w:rPr>
                <w:rFonts w:asciiTheme="majorBidi" w:hAnsiTheme="majorBidi" w:cstheme="majorBidi"/>
                <w:b/>
                <w:bCs/>
              </w:rPr>
              <w:t xml:space="preserve">Numéro de téléphone : </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b/>
                <w:bCs/>
                <w:sz w:val="24"/>
                <w:szCs w:val="24"/>
              </w:rPr>
              <w:t>+213 (0) 783 15 39 93</w:t>
            </w:r>
          </w:p>
        </w:tc>
        <w:tc>
          <w:tcPr>
            <w:tcW w:w="1433"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Bâtiment :                                 </w:t>
            </w:r>
          </w:p>
        </w:tc>
        <w:tc>
          <w:tcPr>
            <w:tcW w:w="1544"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FSNV-Grande salle 7</w:t>
            </w:r>
          </w:p>
        </w:tc>
        <w:tc>
          <w:tcPr>
            <w:tcW w:w="1036"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Bureau :</w:t>
            </w:r>
          </w:p>
        </w:tc>
        <w:tc>
          <w:tcPr>
            <w:tcW w:w="1203" w:type="dxa"/>
          </w:tcPr>
          <w:p w:rsidR="001350D4" w:rsidRDefault="001350D4" w:rsidP="00070280">
            <w:pPr>
              <w:spacing w:line="276" w:lineRule="auto"/>
              <w:rPr>
                <w:rFonts w:asciiTheme="majorBidi" w:hAnsiTheme="majorBidi" w:cstheme="majorBidi"/>
                <w:sz w:val="24"/>
                <w:szCs w:val="24"/>
              </w:rPr>
            </w:pPr>
          </w:p>
        </w:tc>
      </w:tr>
    </w:tbl>
    <w:p w:rsidR="001350D4" w:rsidRDefault="001350D4" w:rsidP="001350D4">
      <w:pPr>
        <w:spacing w:line="276" w:lineRule="auto"/>
        <w:rPr>
          <w:rFonts w:asciiTheme="majorBidi" w:hAnsiTheme="majorBidi" w:cstheme="majorBidi"/>
          <w:sz w:val="24"/>
          <w:szCs w:val="24"/>
        </w:rPr>
      </w:pPr>
    </w:p>
    <w:tbl>
      <w:tblPr>
        <w:tblStyle w:val="Grilledutableau"/>
        <w:tblW w:w="5000" w:type="pct"/>
        <w:tblLayout w:type="fixed"/>
        <w:tblLook w:val="04A0" w:firstRow="1" w:lastRow="0" w:firstColumn="1" w:lastColumn="0" w:noHBand="0" w:noVBand="1"/>
      </w:tblPr>
      <w:tblGrid>
        <w:gridCol w:w="2347"/>
        <w:gridCol w:w="1355"/>
        <w:gridCol w:w="1245"/>
        <w:gridCol w:w="828"/>
        <w:gridCol w:w="739"/>
        <w:gridCol w:w="850"/>
        <w:gridCol w:w="852"/>
        <w:gridCol w:w="844"/>
      </w:tblGrid>
      <w:tr w:rsidR="001350D4" w:rsidTr="00070280">
        <w:tc>
          <w:tcPr>
            <w:tcW w:w="5000" w:type="pct"/>
            <w:gridSpan w:val="8"/>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TRAVAUX DIRIGES</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(Réception des étudiants par semaine)</w:t>
            </w:r>
          </w:p>
        </w:tc>
      </w:tr>
      <w:tr w:rsidR="001350D4" w:rsidTr="00070280">
        <w:tc>
          <w:tcPr>
            <w:tcW w:w="1295" w:type="pct"/>
            <w:vMerge w:val="restart"/>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NOMS ET PRENOMS DES ENSEIGNANTS </w:t>
            </w:r>
          </w:p>
        </w:tc>
        <w:tc>
          <w:tcPr>
            <w:tcW w:w="748" w:type="pct"/>
            <w:vMerge w:val="restar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Bureau/salle réception</w:t>
            </w:r>
          </w:p>
        </w:tc>
        <w:tc>
          <w:tcPr>
            <w:tcW w:w="1144" w:type="pct"/>
            <w:gridSpan w:val="2"/>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Séance 1</w:t>
            </w:r>
          </w:p>
        </w:tc>
        <w:tc>
          <w:tcPr>
            <w:tcW w:w="877" w:type="pct"/>
            <w:gridSpan w:val="2"/>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Séance 2</w:t>
            </w:r>
          </w:p>
        </w:tc>
        <w:tc>
          <w:tcPr>
            <w:tcW w:w="936" w:type="pct"/>
            <w:gridSpan w:val="2"/>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Séance 3</w:t>
            </w:r>
          </w:p>
        </w:tc>
      </w:tr>
      <w:tr w:rsidR="001350D4" w:rsidTr="00070280">
        <w:tc>
          <w:tcPr>
            <w:tcW w:w="1295" w:type="pct"/>
            <w:vMerge/>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p>
        </w:tc>
        <w:tc>
          <w:tcPr>
            <w:tcW w:w="748" w:type="pct"/>
            <w:vMerge/>
            <w:shd w:val="clear" w:color="auto" w:fill="D9D9D9" w:themeFill="background1" w:themeFillShade="D9"/>
          </w:tcPr>
          <w:p w:rsidR="001350D4" w:rsidRDefault="001350D4" w:rsidP="00070280">
            <w:pPr>
              <w:spacing w:line="276" w:lineRule="auto"/>
              <w:rPr>
                <w:rFonts w:asciiTheme="majorBidi" w:hAnsiTheme="majorBidi" w:cstheme="majorBidi"/>
                <w:sz w:val="24"/>
                <w:szCs w:val="24"/>
              </w:rPr>
            </w:pPr>
          </w:p>
        </w:tc>
        <w:tc>
          <w:tcPr>
            <w:tcW w:w="687"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jour</w:t>
            </w:r>
          </w:p>
        </w:tc>
        <w:tc>
          <w:tcPr>
            <w:tcW w:w="457"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c>
          <w:tcPr>
            <w:tcW w:w="408"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jour</w:t>
            </w:r>
          </w:p>
        </w:tc>
        <w:tc>
          <w:tcPr>
            <w:tcW w:w="469"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c>
          <w:tcPr>
            <w:tcW w:w="470"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jour</w:t>
            </w:r>
          </w:p>
        </w:tc>
        <w:tc>
          <w:tcPr>
            <w:tcW w:w="466" w:type="pct"/>
            <w:shd w:val="clear" w:color="auto" w:fill="D9D9D9" w:themeFill="background1" w:themeFillShade="D9"/>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heure</w:t>
            </w:r>
          </w:p>
        </w:tc>
      </w:tr>
      <w:tr w:rsidR="001350D4" w:rsidTr="00070280">
        <w:tc>
          <w:tcPr>
            <w:tcW w:w="1295" w:type="pct"/>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Hadjira Sabrina</w:t>
            </w:r>
            <w:r>
              <w:rPr>
                <w:rFonts w:asciiTheme="majorBidi" w:hAnsiTheme="majorBidi" w:cstheme="majorBidi"/>
                <w:sz w:val="24"/>
                <w:szCs w:val="24"/>
              </w:rPr>
              <w:fldChar w:fldCharType="begin">
                <w:ffData>
                  <w:name w:val="Texte16"/>
                  <w:enabled/>
                  <w:calcOnExit w:val="0"/>
                  <w:textInput>
                    <w:maxLength w:val="20"/>
                    <w:format w:val="第一个字母大写"/>
                  </w:textInput>
                </w:ffData>
              </w:fldChar>
            </w:r>
            <w:bookmarkStart w:id="0" w:name="Texte16"/>
            <w:r>
              <w:rPr>
                <w:rFonts w:asciiTheme="majorBidi" w:hAnsiTheme="majorBidi" w:cstheme="majorBidi"/>
                <w:sz w:val="24"/>
                <w:szCs w:val="24"/>
              </w:rPr>
              <w:instrText xml:space="preserve"> FORMTEXT </w:instrText>
            </w:r>
            <w:r>
              <w:rPr>
                <w:rFonts w:asciiTheme="majorBidi" w:hAnsiTheme="majorBidi" w:cstheme="majorBidi"/>
                <w:sz w:val="24"/>
                <w:szCs w:val="24"/>
              </w:rPr>
            </w:r>
            <w:r>
              <w:rPr>
                <w:rFonts w:asciiTheme="majorBidi" w:hAnsiTheme="majorBidi" w:cstheme="majorBidi"/>
                <w:sz w:val="24"/>
                <w:szCs w:val="24"/>
              </w:rPr>
              <w:fldChar w:fldCharType="separate"/>
            </w:r>
            <w:r>
              <w:rPr>
                <w:rFonts w:asciiTheme="majorBidi" w:hAnsiTheme="majorBidi" w:cstheme="majorBidi"/>
                <w:sz w:val="24"/>
                <w:szCs w:val="24"/>
              </w:rPr>
              <w:fldChar w:fldCharType="end"/>
            </w:r>
            <w:bookmarkEnd w:id="0"/>
          </w:p>
        </w:tc>
        <w:tc>
          <w:tcPr>
            <w:tcW w:w="748" w:type="pct"/>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-Grande salle 7</w:t>
            </w:r>
          </w:p>
          <w:p w:rsidR="001350D4" w:rsidRDefault="001350D4" w:rsidP="00070280">
            <w:pPr>
              <w:spacing w:line="276" w:lineRule="auto"/>
              <w:rPr>
                <w:rFonts w:asciiTheme="majorBidi" w:hAnsiTheme="majorBidi" w:cstheme="majorBidi"/>
                <w:sz w:val="24"/>
                <w:szCs w:val="24"/>
              </w:rPr>
            </w:pPr>
          </w:p>
        </w:tc>
        <w:tc>
          <w:tcPr>
            <w:tcW w:w="687" w:type="pct"/>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Dimanche</w:t>
            </w:r>
          </w:p>
        </w:tc>
        <w:tc>
          <w:tcPr>
            <w:tcW w:w="457" w:type="pct"/>
          </w:tcPr>
          <w:p w:rsidR="001350D4" w:rsidRDefault="001350D4" w:rsidP="00070280">
            <w:pPr>
              <w:spacing w:line="276" w:lineRule="auto"/>
              <w:rPr>
                <w:rFonts w:asciiTheme="majorBidi" w:hAnsiTheme="majorBidi" w:cstheme="majorBidi"/>
                <w:sz w:val="24"/>
                <w:szCs w:val="24"/>
              </w:rPr>
            </w:pPr>
            <w:r>
              <w:t>De 11h</w:t>
            </w:r>
            <w:r>
              <w:rPr>
                <w:lang w:val="en-US"/>
              </w:rPr>
              <w:t>0</w:t>
            </w:r>
            <w:r>
              <w:t>0 à 12h</w:t>
            </w:r>
            <w:r>
              <w:rPr>
                <w:lang w:val="en-US"/>
              </w:rPr>
              <w:t>0</w:t>
            </w:r>
            <w:r>
              <w:t>0</w:t>
            </w:r>
          </w:p>
        </w:tc>
        <w:tc>
          <w:tcPr>
            <w:tcW w:w="408" w:type="pct"/>
          </w:tcPr>
          <w:p w:rsidR="001350D4" w:rsidRDefault="001350D4" w:rsidP="00070280">
            <w:pPr>
              <w:spacing w:line="276" w:lineRule="auto"/>
              <w:rPr>
                <w:rFonts w:asciiTheme="majorBidi" w:hAnsiTheme="majorBidi" w:cstheme="majorBidi"/>
                <w:sz w:val="24"/>
                <w:szCs w:val="24"/>
              </w:rPr>
            </w:pPr>
          </w:p>
        </w:tc>
        <w:tc>
          <w:tcPr>
            <w:tcW w:w="469" w:type="pct"/>
          </w:tcPr>
          <w:p w:rsidR="001350D4" w:rsidRDefault="001350D4" w:rsidP="00070280">
            <w:pPr>
              <w:spacing w:line="276" w:lineRule="auto"/>
              <w:rPr>
                <w:rFonts w:asciiTheme="majorBidi" w:hAnsiTheme="majorBidi" w:cstheme="majorBidi"/>
                <w:sz w:val="24"/>
                <w:szCs w:val="24"/>
              </w:rPr>
            </w:pPr>
          </w:p>
        </w:tc>
        <w:tc>
          <w:tcPr>
            <w:tcW w:w="470" w:type="pct"/>
          </w:tcPr>
          <w:p w:rsidR="001350D4" w:rsidRDefault="001350D4" w:rsidP="00070280">
            <w:pPr>
              <w:spacing w:line="276" w:lineRule="auto"/>
              <w:rPr>
                <w:rFonts w:asciiTheme="majorBidi" w:hAnsiTheme="majorBidi" w:cstheme="majorBidi"/>
                <w:sz w:val="24"/>
                <w:szCs w:val="24"/>
              </w:rPr>
            </w:pPr>
          </w:p>
        </w:tc>
        <w:tc>
          <w:tcPr>
            <w:tcW w:w="466" w:type="pct"/>
          </w:tcPr>
          <w:p w:rsidR="001350D4" w:rsidRDefault="001350D4" w:rsidP="00070280">
            <w:pPr>
              <w:spacing w:line="276" w:lineRule="auto"/>
              <w:rPr>
                <w:rFonts w:asciiTheme="majorBidi" w:hAnsiTheme="majorBidi" w:cstheme="majorBidi"/>
                <w:sz w:val="24"/>
                <w:szCs w:val="24"/>
              </w:rPr>
            </w:pPr>
          </w:p>
        </w:tc>
      </w:tr>
    </w:tbl>
    <w:p w:rsidR="001350D4" w:rsidRDefault="001350D4" w:rsidP="001350D4">
      <w:pPr>
        <w:spacing w:line="276" w:lineRule="auto"/>
        <w:rPr>
          <w:rFonts w:asciiTheme="majorBidi" w:hAnsiTheme="majorBidi" w:cstheme="majorBidi"/>
          <w:sz w:val="24"/>
          <w:szCs w:val="24"/>
        </w:rPr>
      </w:pPr>
    </w:p>
    <w:tbl>
      <w:tblPr>
        <w:tblStyle w:val="Grilledutableau"/>
        <w:tblW w:w="0" w:type="auto"/>
        <w:tblLook w:val="04A0" w:firstRow="1" w:lastRow="0" w:firstColumn="1" w:lastColumn="0" w:noHBand="0" w:noVBand="1"/>
      </w:tblPr>
      <w:tblGrid>
        <w:gridCol w:w="2547"/>
        <w:gridCol w:w="6513"/>
      </w:tblGrid>
      <w:tr w:rsidR="001350D4" w:rsidTr="00070280">
        <w:tc>
          <w:tcPr>
            <w:tcW w:w="9060" w:type="dxa"/>
            <w:gridSpan w:val="2"/>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DESCRIPTIF DU COURS</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Objectif</w:t>
            </w:r>
          </w:p>
        </w:tc>
        <w:tc>
          <w:tcPr>
            <w:tcW w:w="6513" w:type="dxa"/>
          </w:tcPr>
          <w:p w:rsidR="001350D4" w:rsidRPr="002A5A6D" w:rsidRDefault="001350D4" w:rsidP="00070280">
            <w:pPr>
              <w:pStyle w:val="NormalWeb"/>
              <w:spacing w:before="0" w:after="0"/>
              <w:ind w:right="720"/>
              <w:jc w:val="both"/>
              <w:rPr>
                <w:rFonts w:asciiTheme="majorBidi" w:eastAsia="SimSun" w:hAnsiTheme="majorBidi" w:cstheme="majorBidi"/>
              </w:rPr>
            </w:pPr>
            <w:r>
              <w:rPr>
                <w:rFonts w:asciiTheme="majorBidi" w:eastAsia="SimSun" w:hAnsiTheme="majorBidi" w:cstheme="majorBidi"/>
              </w:rPr>
              <w:t>1</w:t>
            </w:r>
            <w:r w:rsidRPr="002A5A6D">
              <w:rPr>
                <w:rFonts w:asciiTheme="majorBidi" w:eastAsia="SimSun" w:hAnsiTheme="majorBidi" w:cstheme="majorBidi"/>
              </w:rPr>
              <w:t xml:space="preserve">- </w:t>
            </w:r>
            <w:r w:rsidRPr="002A5A6D">
              <w:rPr>
                <w:rFonts w:asciiTheme="majorBidi" w:eastAsia="SimSun" w:hAnsiTheme="majorBidi" w:cstheme="majorBidi" w:hint="eastAsia"/>
              </w:rPr>
              <w:t>Présenter les principaux aspects de l'interaction entre les substances chimiques (médicaments et substances toxiques) et l'organisme, notamment leur devenir dans l'organisme et leurs mécanismes d'action, afin de renforcer la compréhension des étudiants des principes fondamentaux de la pharmacologie et de la toxicologie.</w:t>
            </w:r>
          </w:p>
          <w:p w:rsidR="001350D4" w:rsidRDefault="001350D4" w:rsidP="00070280">
            <w:pPr>
              <w:pStyle w:val="NormalWeb"/>
              <w:rPr>
                <w:rFonts w:asciiTheme="majorBidi" w:hAnsiTheme="majorBidi" w:cstheme="majorBidi"/>
                <w:lang w:val="fr"/>
              </w:rPr>
            </w:pPr>
            <w:r>
              <w:rPr>
                <w:rFonts w:asciiTheme="majorBidi" w:eastAsia="SimSun" w:hAnsiTheme="majorBidi" w:cstheme="majorBidi"/>
              </w:rPr>
              <w:t xml:space="preserve"> 2- Fournir aux étudiants les compétences nécessaires pour assurer le contrôle de qualité des médicaments selon les normes en vigueur.</w:t>
            </w:r>
          </w:p>
          <w:p w:rsidR="001350D4" w:rsidRDefault="001350D4" w:rsidP="00070280">
            <w:pPr>
              <w:spacing w:line="276" w:lineRule="auto"/>
              <w:rPr>
                <w:rFonts w:asciiTheme="majorBidi" w:hAnsiTheme="majorBidi" w:cstheme="majorBidi"/>
                <w:sz w:val="24"/>
                <w:szCs w:val="24"/>
              </w:rPr>
            </w:pP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Type Unité Enseignement</w:t>
            </w:r>
          </w:p>
        </w:tc>
        <w:tc>
          <w:tcPr>
            <w:tcW w:w="651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b/>
                <w:bCs/>
                <w:sz w:val="24"/>
                <w:szCs w:val="24"/>
              </w:rPr>
              <w:t>UE méthodologie</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lastRenderedPageBreak/>
              <w:t>Contenu succinct</w:t>
            </w:r>
          </w:p>
        </w:tc>
        <w:tc>
          <w:tcPr>
            <w:tcW w:w="6513" w:type="dxa"/>
          </w:tcPr>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1. Fondements disciplinaires : (4h)</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Définitions, objectifs et enjeux de la pharmacologie (étude des médicaments)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et de la toxicologie (étude des poisons).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Notions de dose-réponse, seuils toxiques, et principes éthiques.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2. Pharmacocinétique et toxicocinétique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Dynamique des substances : Absorption, Distribution, Métabolisme, Excrétion</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(ADME).</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Facteurs influençant la biodisponibilité et la toxicité (espèce, voie</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d’administration, interactions).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3. Mécanismes moléculaires et cellulaires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Interaction médicament-récepteur (agonistes/antagonistes).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Signalisation cellulaire, modulation des canaux ioniques et enzymes.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4. Innovation pharmaceutique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Découverte de molécules (criblage, modélisation in silico).</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Étapes précliniques (in vitro, in vivo) et cliniques (essais phases I-IV),</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réglementation (AMM).</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5. Galénique et formulation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Conception des formes pharmaceutiques (comprimés, gels, nanovecteurs).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Optimisation de la libération et stabilité des principes actifs.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6. Risques environnementaux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Polluants (pesticides, métaux lourds), bioaccumulation, biomarqueurs.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Écotoxicologie : impacts sur la biodiversité et les chaînes trophiques.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7. Toxicité génétique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Mécanismes des lésions de l’ADN (génotoxicité), mutations, et initiation</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tumorale.</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Tests de cancérogenèse (ex.: Ames, modèles murins).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8. Toxines bactériennes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Exotoxines (neurotoxines, entérotoxines) et endotoxines (LPS).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Pathogénicité (Clostridium, Staphylococcus), traitements (antitoxines).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9. Toxines fongiques : (4h30)</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Mycotoxines (aflatoxines, ochratoxines) : sources, mécanismes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hépatotoxiques/néphrotoxiques.</w:t>
            </w:r>
          </w:p>
          <w:p w:rsidR="001350D4" w:rsidRDefault="001350D4" w:rsidP="00070280">
            <w:pPr>
              <w:widowControl w:val="0"/>
              <w:autoSpaceDE w:val="0"/>
              <w:autoSpaceDN w:val="0"/>
              <w:adjustRightInd w:val="0"/>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o Prévention (contrôles agroalimentaires, détoxification).</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Crédits de la matière</w:t>
            </w:r>
          </w:p>
        </w:tc>
        <w:tc>
          <w:tcPr>
            <w:tcW w:w="651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5</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Coefficient de la matière</w:t>
            </w:r>
          </w:p>
        </w:tc>
        <w:tc>
          <w:tcPr>
            <w:tcW w:w="651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3</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lastRenderedPageBreak/>
              <w:t>Pondération Participation</w:t>
            </w:r>
          </w:p>
        </w:tc>
        <w:tc>
          <w:tcPr>
            <w:tcW w:w="6513" w:type="dxa"/>
          </w:tcPr>
          <w:p w:rsidR="001350D4" w:rsidRPr="00F26E6D" w:rsidRDefault="001350D4" w:rsidP="00070280">
            <w:pPr>
              <w:pStyle w:val="Paragraphedeliste1"/>
              <w:spacing w:line="276" w:lineRule="auto"/>
              <w:rPr>
                <w:rFonts w:asciiTheme="majorBidi" w:hAnsiTheme="majorBidi" w:cstheme="majorBidi"/>
              </w:rPr>
            </w:pPr>
            <w:r>
              <w:rPr>
                <w:rFonts w:asciiTheme="majorBidi" w:hAnsiTheme="majorBidi" w:cstheme="majorBidi"/>
              </w:rPr>
              <w:t>Cette évaluation est prise en compte dans la note de contrôle continu.</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Pondération Assiduité</w:t>
            </w:r>
          </w:p>
        </w:tc>
        <w:tc>
          <w:tcPr>
            <w:tcW w:w="6513" w:type="dxa"/>
          </w:tcPr>
          <w:p w:rsidR="001350D4" w:rsidRDefault="001350D4" w:rsidP="00070280">
            <w:pPr>
              <w:pStyle w:val="Paragraphedeliste1"/>
              <w:spacing w:line="276" w:lineRule="auto"/>
              <w:rPr>
                <w:rFonts w:asciiTheme="majorBidi" w:hAnsiTheme="majorBidi" w:cstheme="majorBidi"/>
              </w:rPr>
            </w:pPr>
            <w:r>
              <w:rPr>
                <w:rFonts w:asciiTheme="majorBidi" w:hAnsiTheme="majorBidi" w:cstheme="majorBidi"/>
              </w:rPr>
              <w:t>Cette évaluation est prise en compte dans la note de contrôle continu.</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Calcul Moyenne C.C</w:t>
            </w:r>
          </w:p>
        </w:tc>
        <w:tc>
          <w:tcPr>
            <w:tcW w:w="651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Examen semestriel en présentiel (60%).</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Évaluation continue (CC) (40%) Déroulement de l’évaluation continue : Présence : 5 points, Tests de courte durée ou évaluations périodiques : 7.5 points, Projet collectif ou exposé : 7.5 points.</w:t>
            </w:r>
          </w:p>
        </w:tc>
      </w:tr>
      <w:tr w:rsidR="001350D4" w:rsidTr="00070280">
        <w:tc>
          <w:tcPr>
            <w:tcW w:w="2547"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Compétences visées</w:t>
            </w:r>
          </w:p>
        </w:tc>
        <w:tc>
          <w:tcPr>
            <w:tcW w:w="651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Permettre à l'étudiant de maîtriser les notions fondamentales de la pharmacologie et de la toxicologie, de comprendre le devenir et les mécanismes d'action des médicaments et des substances toxiques, d'évaluer leurs effets biologiques et toxiques, et d'appliquer ces connaissances dans les domaines de la microbiologie, du contrôle de qualité et de la recherche scientifique.</w:t>
            </w:r>
          </w:p>
        </w:tc>
      </w:tr>
    </w:tbl>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tbl>
      <w:tblPr>
        <w:tblStyle w:val="Grilledutableau"/>
        <w:tblW w:w="0" w:type="auto"/>
        <w:tblInd w:w="-601" w:type="dxa"/>
        <w:tblLayout w:type="fixed"/>
        <w:tblLook w:val="04A0" w:firstRow="1" w:lastRow="0" w:firstColumn="1" w:lastColumn="0" w:noHBand="0" w:noVBand="1"/>
      </w:tblPr>
      <w:tblGrid>
        <w:gridCol w:w="1276"/>
        <w:gridCol w:w="1418"/>
        <w:gridCol w:w="850"/>
        <w:gridCol w:w="989"/>
        <w:gridCol w:w="883"/>
        <w:gridCol w:w="1559"/>
        <w:gridCol w:w="1528"/>
        <w:gridCol w:w="1158"/>
      </w:tblGrid>
      <w:tr w:rsidR="001350D4" w:rsidTr="00070280">
        <w:tc>
          <w:tcPr>
            <w:tcW w:w="9661" w:type="dxa"/>
            <w:gridSpan w:val="8"/>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EVALUATION DES CONTROLES CONTINUS DE CONNAISSANCES</w:t>
            </w:r>
          </w:p>
        </w:tc>
      </w:tr>
      <w:tr w:rsidR="001350D4" w:rsidTr="00070280">
        <w:tc>
          <w:tcPr>
            <w:tcW w:w="9661" w:type="dxa"/>
            <w:gridSpan w:val="8"/>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PREMIER CONTROLE DE CONNAISSANCES</w:t>
            </w:r>
          </w:p>
        </w:tc>
      </w:tr>
      <w:tr w:rsidR="001350D4" w:rsidTr="00070280">
        <w:tc>
          <w:tcPr>
            <w:tcW w:w="1276"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Jour</w:t>
            </w:r>
          </w:p>
        </w:tc>
        <w:tc>
          <w:tcPr>
            <w:tcW w:w="141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Séance</w:t>
            </w:r>
          </w:p>
        </w:tc>
        <w:tc>
          <w:tcPr>
            <w:tcW w:w="850"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Durée</w:t>
            </w:r>
          </w:p>
        </w:tc>
        <w:tc>
          <w:tcPr>
            <w:tcW w:w="98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Type (1)</w:t>
            </w:r>
          </w:p>
        </w:tc>
        <w:tc>
          <w:tcPr>
            <w:tcW w:w="883"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Doc autorisé (Oui, Non)</w:t>
            </w:r>
          </w:p>
        </w:tc>
        <w:tc>
          <w:tcPr>
            <w:tcW w:w="155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Barème</w:t>
            </w:r>
          </w:p>
        </w:tc>
        <w:tc>
          <w:tcPr>
            <w:tcW w:w="152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Echange après évaluation</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(date Consult. copie)</w:t>
            </w:r>
          </w:p>
        </w:tc>
        <w:tc>
          <w:tcPr>
            <w:tcW w:w="115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Critères évaluation (2)</w:t>
            </w:r>
          </w:p>
        </w:tc>
      </w:tr>
      <w:tr w:rsidR="001350D4" w:rsidTr="00070280">
        <w:tc>
          <w:tcPr>
            <w:tcW w:w="1276"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Dimanche</w:t>
            </w:r>
          </w:p>
        </w:tc>
        <w:tc>
          <w:tcPr>
            <w:tcW w:w="141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Une interrogation sera organisée après chaque série de quatre séances de TD.</w:t>
            </w:r>
          </w:p>
        </w:tc>
        <w:tc>
          <w:tcPr>
            <w:tcW w:w="850"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45 min</w:t>
            </w:r>
          </w:p>
        </w:tc>
        <w:tc>
          <w:tcPr>
            <w:tcW w:w="9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w:t>
            </w:r>
          </w:p>
          <w:p w:rsidR="001350D4" w:rsidRDefault="001350D4" w:rsidP="00070280">
            <w:pPr>
              <w:spacing w:line="276" w:lineRule="auto"/>
              <w:rPr>
                <w:rFonts w:asciiTheme="majorBidi" w:hAnsiTheme="majorBidi" w:cstheme="majorBidi"/>
                <w:sz w:val="24"/>
                <w:szCs w:val="24"/>
              </w:rPr>
            </w:pPr>
          </w:p>
          <w:p w:rsidR="001350D4" w:rsidRDefault="001350D4" w:rsidP="00070280">
            <w:pPr>
              <w:spacing w:line="276" w:lineRule="auto"/>
              <w:rPr>
                <w:rFonts w:asciiTheme="majorBidi" w:hAnsiTheme="majorBidi" w:cstheme="majorBidi"/>
                <w:sz w:val="24"/>
                <w:szCs w:val="24"/>
              </w:rPr>
            </w:pPr>
          </w:p>
        </w:tc>
        <w:tc>
          <w:tcPr>
            <w:tcW w:w="88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Oui</w:t>
            </w:r>
          </w:p>
        </w:tc>
        <w:tc>
          <w:tcPr>
            <w:tcW w:w="155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lang w:val="en-US"/>
              </w:rPr>
              <w:t>7,5 (2+2+3,5)</w:t>
            </w:r>
          </w:p>
        </w:tc>
        <w:sdt>
          <w:sdtPr>
            <w:rPr>
              <w:rFonts w:asciiTheme="majorBidi" w:hAnsiTheme="majorBidi" w:cstheme="majorBidi"/>
              <w:sz w:val="24"/>
              <w:szCs w:val="24"/>
            </w:rPr>
            <w:id w:val="701600096"/>
            <w:placeholder>
              <w:docPart w:val="AB98FF28166448EC8B2CA5C9C9E7805D"/>
            </w:placeholder>
            <w:showingPlcHdr/>
            <w:date w:fullDate="2023-01-01T00:00:00Z">
              <w:dateFormat w:val="dd/MM/yyyy"/>
              <w:lid w:val="fr-FR"/>
              <w:storeMappedDataAs w:val="dateTime"/>
              <w:calendar w:val="gregorian"/>
            </w:date>
          </w:sdtPr>
          <w:sdtContent>
            <w:tc>
              <w:tcPr>
                <w:tcW w:w="1528" w:type="dxa"/>
              </w:tcPr>
              <w:p w:rsidR="001350D4" w:rsidRDefault="001350D4" w:rsidP="00070280">
                <w:pPr>
                  <w:spacing w:line="276" w:lineRule="auto"/>
                  <w:rPr>
                    <w:rFonts w:asciiTheme="majorBidi" w:hAnsiTheme="majorBidi" w:cstheme="majorBidi"/>
                    <w:sz w:val="24"/>
                    <w:szCs w:val="24"/>
                  </w:rPr>
                </w:pPr>
                <w:r>
                  <w:rPr>
                    <w:rStyle w:val="Textedelespacerserv"/>
                    <w:rFonts w:asciiTheme="majorBidi" w:hAnsiTheme="majorBidi" w:cstheme="majorBidi"/>
                    <w:sz w:val="24"/>
                    <w:szCs w:val="24"/>
                  </w:rPr>
                  <w:t>Cliquez ici pour entrer une date.</w:t>
                </w:r>
              </w:p>
            </w:tc>
          </w:sdtContent>
        </w:sdt>
        <w:tc>
          <w:tcPr>
            <w:tcW w:w="115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 S, AR, D,R.</w:t>
            </w:r>
          </w:p>
        </w:tc>
      </w:tr>
      <w:tr w:rsidR="001350D4" w:rsidTr="00070280">
        <w:tc>
          <w:tcPr>
            <w:tcW w:w="9661" w:type="dxa"/>
            <w:gridSpan w:val="8"/>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DEUXIEME CONTROLE DE CONNAISSANCES</w:t>
            </w:r>
          </w:p>
        </w:tc>
      </w:tr>
      <w:tr w:rsidR="001350D4" w:rsidTr="00070280">
        <w:tc>
          <w:tcPr>
            <w:tcW w:w="9661" w:type="dxa"/>
            <w:gridSpan w:val="8"/>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p>
        </w:tc>
      </w:tr>
      <w:tr w:rsidR="001350D4" w:rsidTr="00070280">
        <w:tc>
          <w:tcPr>
            <w:tcW w:w="1276"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Jour</w:t>
            </w:r>
          </w:p>
        </w:tc>
        <w:tc>
          <w:tcPr>
            <w:tcW w:w="141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Séance</w:t>
            </w:r>
          </w:p>
        </w:tc>
        <w:tc>
          <w:tcPr>
            <w:tcW w:w="850"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Durée</w:t>
            </w:r>
          </w:p>
        </w:tc>
        <w:tc>
          <w:tcPr>
            <w:tcW w:w="98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Type (1)</w:t>
            </w:r>
          </w:p>
        </w:tc>
        <w:tc>
          <w:tcPr>
            <w:tcW w:w="883"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Doc autorisé (Oui, Non)</w:t>
            </w:r>
          </w:p>
        </w:tc>
        <w:tc>
          <w:tcPr>
            <w:tcW w:w="155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Barème</w:t>
            </w:r>
          </w:p>
        </w:tc>
        <w:tc>
          <w:tcPr>
            <w:tcW w:w="152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Echange après évaluation</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(date consultation copies)</w:t>
            </w:r>
          </w:p>
        </w:tc>
        <w:tc>
          <w:tcPr>
            <w:tcW w:w="1158"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Critères évaluation (2)</w:t>
            </w:r>
          </w:p>
        </w:tc>
      </w:tr>
      <w:tr w:rsidR="001350D4" w:rsidTr="00070280">
        <w:tc>
          <w:tcPr>
            <w:tcW w:w="1276"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Dimanche</w:t>
            </w:r>
          </w:p>
        </w:tc>
        <w:tc>
          <w:tcPr>
            <w:tcW w:w="141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À chaque séance de TD, un </w:t>
            </w:r>
            <w:r>
              <w:rPr>
                <w:rFonts w:asciiTheme="majorBidi" w:hAnsiTheme="majorBidi" w:cstheme="majorBidi"/>
                <w:sz w:val="24"/>
                <w:szCs w:val="24"/>
              </w:rPr>
              <w:lastRenderedPageBreak/>
              <w:t>binôme d'étudiants présentera un exposé en lien avec le thème de la séance.</w:t>
            </w:r>
          </w:p>
        </w:tc>
        <w:tc>
          <w:tcPr>
            <w:tcW w:w="850"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lastRenderedPageBreak/>
              <w:t>45 min</w:t>
            </w:r>
          </w:p>
        </w:tc>
        <w:tc>
          <w:tcPr>
            <w:tcW w:w="9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EC</w:t>
            </w:r>
          </w:p>
        </w:tc>
        <w:tc>
          <w:tcPr>
            <w:tcW w:w="883"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Oui</w:t>
            </w:r>
          </w:p>
        </w:tc>
        <w:tc>
          <w:tcPr>
            <w:tcW w:w="155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lang w:val="en-US"/>
              </w:rPr>
              <w:t>7,5 (2+2+3,5)</w:t>
            </w:r>
          </w:p>
        </w:tc>
        <w:sdt>
          <w:sdtPr>
            <w:rPr>
              <w:rFonts w:asciiTheme="majorBidi" w:hAnsiTheme="majorBidi" w:cstheme="majorBidi"/>
              <w:sz w:val="24"/>
              <w:szCs w:val="24"/>
            </w:rPr>
            <w:id w:val="1170598069"/>
            <w:placeholder>
              <w:docPart w:val="0637751005184150B4D1C61C4E4F38CA"/>
            </w:placeholder>
            <w:showingPlcHdr/>
            <w:date>
              <w:dateFormat w:val="dd/MM/yyyy"/>
              <w:lid w:val="fr-FR"/>
              <w:storeMappedDataAs w:val="dateTime"/>
              <w:calendar w:val="gregorian"/>
            </w:date>
          </w:sdtPr>
          <w:sdtContent>
            <w:tc>
              <w:tcPr>
                <w:tcW w:w="1528" w:type="dxa"/>
              </w:tcPr>
              <w:p w:rsidR="001350D4" w:rsidRDefault="001350D4" w:rsidP="00070280">
                <w:pPr>
                  <w:spacing w:line="276" w:lineRule="auto"/>
                  <w:rPr>
                    <w:rFonts w:asciiTheme="majorBidi" w:hAnsiTheme="majorBidi" w:cstheme="majorBidi"/>
                    <w:sz w:val="24"/>
                    <w:szCs w:val="24"/>
                  </w:rPr>
                </w:pPr>
                <w:r>
                  <w:rPr>
                    <w:rStyle w:val="Textedelespacerserv"/>
                    <w:rFonts w:asciiTheme="majorBidi" w:hAnsiTheme="majorBidi" w:cstheme="majorBidi"/>
                    <w:sz w:val="24"/>
                    <w:szCs w:val="24"/>
                  </w:rPr>
                  <w:t>Cliquez ici pour entrer une date.</w:t>
                </w:r>
              </w:p>
            </w:tc>
          </w:sdtContent>
        </w:sdt>
        <w:tc>
          <w:tcPr>
            <w:tcW w:w="115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 S, AR, D,R.</w:t>
            </w:r>
          </w:p>
        </w:tc>
      </w:tr>
    </w:tbl>
    <w:p w:rsidR="001350D4" w:rsidRDefault="001350D4" w:rsidP="001350D4">
      <w:pPr>
        <w:pStyle w:val="Paragraphedeliste"/>
        <w:numPr>
          <w:ilvl w:val="0"/>
          <w:numId w:val="1"/>
        </w:numPr>
        <w:spacing w:line="276" w:lineRule="auto"/>
        <w:rPr>
          <w:rFonts w:asciiTheme="majorBidi" w:hAnsiTheme="majorBidi" w:cstheme="majorBidi"/>
          <w:sz w:val="24"/>
          <w:szCs w:val="24"/>
        </w:rPr>
      </w:pPr>
      <w:r>
        <w:rPr>
          <w:rFonts w:asciiTheme="majorBidi" w:hAnsiTheme="majorBidi" w:cstheme="majorBidi"/>
          <w:sz w:val="24"/>
          <w:szCs w:val="24"/>
        </w:rPr>
        <w:t>Type : E=écrit, EI=exposé individuel, EC=exposé en classe, EX=expérimentation, QCM</w:t>
      </w:r>
    </w:p>
    <w:p w:rsidR="001350D4" w:rsidRDefault="001350D4" w:rsidP="001350D4">
      <w:pPr>
        <w:pStyle w:val="Paragraphedeliste"/>
        <w:numPr>
          <w:ilvl w:val="0"/>
          <w:numId w:val="1"/>
        </w:numPr>
        <w:spacing w:line="276" w:lineRule="auto"/>
        <w:rPr>
          <w:rFonts w:asciiTheme="majorBidi" w:hAnsiTheme="majorBidi" w:cstheme="majorBidi"/>
          <w:sz w:val="24"/>
          <w:szCs w:val="24"/>
        </w:rPr>
      </w:pPr>
      <w:r>
        <w:rPr>
          <w:rFonts w:asciiTheme="majorBidi" w:hAnsiTheme="majorBidi" w:cstheme="majorBidi"/>
          <w:sz w:val="24"/>
          <w:szCs w:val="24"/>
        </w:rPr>
        <w:t>Critères évaluation :A=Analyse, S=synthèse,AR=argumentation, D=démarche, R=résultats</w:t>
      </w:r>
    </w:p>
    <w:p w:rsidR="001350D4" w:rsidRDefault="001350D4" w:rsidP="001350D4">
      <w:pPr>
        <w:spacing w:line="276" w:lineRule="auto"/>
        <w:rPr>
          <w:rFonts w:asciiTheme="majorBidi" w:hAnsiTheme="majorBidi" w:cstheme="majorBidi"/>
          <w:sz w:val="24"/>
          <w:szCs w:val="24"/>
        </w:rPr>
      </w:pPr>
    </w:p>
    <w:tbl>
      <w:tblPr>
        <w:tblStyle w:val="Grilledutableau"/>
        <w:tblW w:w="0" w:type="auto"/>
        <w:tblLook w:val="04A0" w:firstRow="1" w:lastRow="0" w:firstColumn="1" w:lastColumn="0" w:noHBand="0" w:noVBand="1"/>
      </w:tblPr>
      <w:tblGrid>
        <w:gridCol w:w="2122"/>
        <w:gridCol w:w="6938"/>
      </w:tblGrid>
      <w:tr w:rsidR="001350D4" w:rsidTr="00070280">
        <w:tc>
          <w:tcPr>
            <w:tcW w:w="9060" w:type="dxa"/>
            <w:gridSpan w:val="2"/>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EQUIPEMENTS ET MATERIELS UTILISES</w:t>
            </w: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Adresses Plateformes</w:t>
            </w:r>
          </w:p>
        </w:tc>
        <w:tc>
          <w:tcPr>
            <w:tcW w:w="693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Moodle de l'Université Ferhat Abbas Sétif 1</w:t>
            </w:r>
          </w:p>
          <w:p w:rsidR="001350D4" w:rsidRDefault="001350D4" w:rsidP="00070280">
            <w:pPr>
              <w:spacing w:line="276" w:lineRule="auto"/>
              <w:rPr>
                <w:rFonts w:asciiTheme="majorBidi" w:hAnsiTheme="majorBidi" w:cstheme="majorBidi"/>
                <w:sz w:val="24"/>
                <w:szCs w:val="24"/>
              </w:rPr>
            </w:pP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Noms Applications (Web, réseau local)</w:t>
            </w:r>
          </w:p>
        </w:tc>
        <w:tc>
          <w:tcPr>
            <w:tcW w:w="6938" w:type="dxa"/>
          </w:tcPr>
          <w:p w:rsidR="001350D4" w:rsidRDefault="001350D4" w:rsidP="00070280">
            <w:pPr>
              <w:pStyle w:val="pdq2pgselectionanchorcontainer"/>
              <w:spacing w:line="276" w:lineRule="auto"/>
              <w:rPr>
                <w:rFonts w:asciiTheme="majorBidi" w:hAnsiTheme="majorBidi" w:cstheme="majorBidi"/>
              </w:rPr>
            </w:pPr>
            <w:r>
              <w:rPr>
                <w:rFonts w:asciiTheme="majorBidi" w:hAnsiTheme="majorBidi" w:cstheme="majorBidi"/>
              </w:rPr>
              <w:t>Afin de développer les compétences des étudiants en recherche bibliographique et en analyse critique de la littérature scientifique en pharmacologie et en toxicologie, les ressources suivantes seront utilisées :</w:t>
            </w:r>
          </w:p>
          <w:p w:rsidR="001350D4" w:rsidRDefault="001350D4" w:rsidP="001350D4">
            <w:pPr>
              <w:numPr>
                <w:ilvl w:val="0"/>
                <w:numId w:val="2"/>
              </w:numPr>
              <w:spacing w:before="100" w:beforeAutospacing="1" w:after="100" w:afterAutospacing="1"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Microsoft PowerPoint</w:t>
            </w:r>
            <w:r>
              <w:rPr>
                <w:rFonts w:asciiTheme="majorBidi" w:eastAsia="Times New Roman" w:hAnsiTheme="majorBidi" w:cstheme="majorBidi"/>
                <w:sz w:val="24"/>
                <w:szCs w:val="24"/>
              </w:rPr>
              <w:t xml:space="preserve"> : support des cours magistraux et outil de préparation des </w:t>
            </w:r>
            <w:r>
              <w:rPr>
                <w:rFonts w:asciiTheme="majorBidi" w:eastAsia="Times New Roman" w:hAnsiTheme="majorBidi" w:cstheme="majorBidi"/>
                <w:b/>
                <w:bCs/>
                <w:sz w:val="24"/>
                <w:szCs w:val="24"/>
              </w:rPr>
              <w:t>exposés de classe réalisés en binôme</w:t>
            </w:r>
            <w:r>
              <w:rPr>
                <w:rFonts w:asciiTheme="majorBidi" w:eastAsia="Times New Roman" w:hAnsiTheme="majorBidi" w:cstheme="majorBidi"/>
                <w:sz w:val="24"/>
                <w:szCs w:val="24"/>
              </w:rPr>
              <w:t xml:space="preserve">. </w:t>
            </w:r>
          </w:p>
          <w:p w:rsidR="001350D4" w:rsidRDefault="001350D4" w:rsidP="001350D4">
            <w:pPr>
              <w:numPr>
                <w:ilvl w:val="0"/>
                <w:numId w:val="2"/>
              </w:numPr>
              <w:spacing w:before="100" w:beforeAutospacing="1" w:after="100" w:afterAutospacing="1"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PubMed</w:t>
            </w:r>
            <w:r>
              <w:rPr>
                <w:rFonts w:asciiTheme="majorBidi" w:eastAsia="Times New Roman" w:hAnsiTheme="majorBidi" w:cstheme="majorBidi"/>
                <w:sz w:val="24"/>
                <w:szCs w:val="24"/>
              </w:rPr>
              <w:t xml:space="preserve"> : recherche d'articles scientifiques en pharmacologie, toxicologie et sciences biomédicales. </w:t>
            </w:r>
          </w:p>
          <w:p w:rsidR="001350D4" w:rsidRDefault="001350D4" w:rsidP="001350D4">
            <w:pPr>
              <w:numPr>
                <w:ilvl w:val="0"/>
                <w:numId w:val="2"/>
              </w:numPr>
              <w:spacing w:before="100" w:beforeAutospacing="1" w:after="100" w:afterAutospacing="1"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Google Scholar</w:t>
            </w:r>
            <w:r>
              <w:rPr>
                <w:rFonts w:asciiTheme="majorBidi" w:eastAsia="Times New Roman" w:hAnsiTheme="majorBidi" w:cstheme="majorBidi"/>
                <w:sz w:val="24"/>
                <w:szCs w:val="24"/>
              </w:rPr>
              <w:t xml:space="preserve"> : recherche de publications scientifiques (articles, mémoires, thèses et ouvrages). </w:t>
            </w:r>
          </w:p>
          <w:p w:rsidR="001350D4" w:rsidRDefault="001350D4" w:rsidP="001350D4">
            <w:pPr>
              <w:numPr>
                <w:ilvl w:val="0"/>
                <w:numId w:val="2"/>
              </w:numPr>
              <w:spacing w:before="100" w:beforeAutospacing="1" w:after="100" w:afterAutospacing="1"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ScienceDirect</w:t>
            </w:r>
            <w:r>
              <w:rPr>
                <w:rFonts w:asciiTheme="majorBidi" w:eastAsia="Times New Roman" w:hAnsiTheme="majorBidi" w:cstheme="majorBidi"/>
                <w:sz w:val="24"/>
                <w:szCs w:val="24"/>
              </w:rPr>
              <w:t xml:space="preserve"> : accès à des articles scientifiques, des chapitres d'ouvrages et des livres de référence en pharmacologie, toxicologie et disciplines associées. </w:t>
            </w:r>
          </w:p>
          <w:p w:rsidR="001350D4" w:rsidRDefault="001350D4" w:rsidP="001350D4">
            <w:pPr>
              <w:numPr>
                <w:ilvl w:val="0"/>
                <w:numId w:val="2"/>
              </w:numPr>
              <w:spacing w:before="100" w:beforeAutospacing="1" w:after="100" w:afterAutospacing="1"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Autres ressources</w:t>
            </w:r>
            <w:r>
              <w:rPr>
                <w:rFonts w:asciiTheme="majorBidi" w:eastAsia="Times New Roman" w:hAnsiTheme="majorBidi" w:cstheme="majorBidi"/>
                <w:sz w:val="24"/>
                <w:szCs w:val="24"/>
              </w:rPr>
              <w:t xml:space="preserve"> : recommandations d'organismes internationaux </w:t>
            </w:r>
            <w:r>
              <w:rPr>
                <w:rFonts w:asciiTheme="majorBidi" w:hAnsiTheme="majorBidi" w:cstheme="majorBidi"/>
                <w:sz w:val="24"/>
                <w:szCs w:val="24"/>
              </w:rPr>
              <w:t xml:space="preserve">(OMS, EMA, FDA) </w:t>
            </w:r>
            <w:r>
              <w:rPr>
                <w:rFonts w:asciiTheme="majorBidi" w:eastAsia="Times New Roman" w:hAnsiTheme="majorBidi" w:cstheme="majorBidi"/>
                <w:sz w:val="24"/>
                <w:szCs w:val="24"/>
              </w:rPr>
              <w:t>et documents pédagogiques mis à disposition par l'enseignant.</w:t>
            </w: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 xml:space="preserve">Polycopiés </w:t>
            </w:r>
          </w:p>
        </w:tc>
        <w:tc>
          <w:tcPr>
            <w:tcW w:w="6938" w:type="dxa"/>
          </w:tcPr>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-Support de cours de Pharmacologie–Toxicologie</w:t>
            </w:r>
          </w:p>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Fiches de travaux dirigés (TD)</w:t>
            </w: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Matériels de laboratoires</w:t>
            </w:r>
          </w:p>
        </w:tc>
        <w:tc>
          <w:tcPr>
            <w:tcW w:w="693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Matériels de protection</w:t>
            </w:r>
          </w:p>
        </w:tc>
        <w:tc>
          <w:tcPr>
            <w:tcW w:w="693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r>
      <w:tr w:rsidR="001350D4" w:rsidTr="00070280">
        <w:tc>
          <w:tcPr>
            <w:tcW w:w="2122" w:type="dxa"/>
            <w:shd w:val="clear" w:color="auto" w:fill="F2F2F2" w:themeFill="background1" w:themeFillShade="F2"/>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Matériels de sorties sur le terrain</w:t>
            </w:r>
          </w:p>
        </w:tc>
        <w:tc>
          <w:tcPr>
            <w:tcW w:w="6938"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r>
    </w:tbl>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p w:rsidR="001350D4" w:rsidRDefault="001350D4" w:rsidP="001350D4">
      <w:pPr>
        <w:spacing w:line="276" w:lineRule="auto"/>
        <w:rPr>
          <w:rFonts w:asciiTheme="majorBidi" w:hAnsiTheme="majorBidi" w:cstheme="majorBidi"/>
          <w:sz w:val="24"/>
          <w:szCs w:val="24"/>
        </w:rPr>
      </w:pPr>
    </w:p>
    <w:tbl>
      <w:tblPr>
        <w:tblStyle w:val="Grilledutableau"/>
        <w:tblW w:w="0" w:type="auto"/>
        <w:tblLook w:val="04A0" w:firstRow="1" w:lastRow="0" w:firstColumn="1" w:lastColumn="0" w:noHBand="0" w:noVBand="1"/>
      </w:tblPr>
      <w:tblGrid>
        <w:gridCol w:w="2689"/>
        <w:gridCol w:w="6371"/>
      </w:tblGrid>
      <w:tr w:rsidR="001350D4" w:rsidTr="00070280">
        <w:tc>
          <w:tcPr>
            <w:tcW w:w="9060" w:type="dxa"/>
            <w:gridSpan w:val="2"/>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LES ATTENTES</w:t>
            </w:r>
          </w:p>
        </w:tc>
      </w:tr>
      <w:tr w:rsidR="001350D4" w:rsidTr="00070280">
        <w:tc>
          <w:tcPr>
            <w:tcW w:w="268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Attendues des étudiants (Participation-implication)</w:t>
            </w:r>
          </w:p>
        </w:tc>
        <w:tc>
          <w:tcPr>
            <w:tcW w:w="6371"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Participation +implication (Présence obligatoire aux séances de TD)</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-Interaction positive (Participer activement aux discussions, participation effective pendant les TD)</w:t>
            </w:r>
          </w:p>
          <w:p w:rsidR="001350D4" w:rsidRDefault="001350D4" w:rsidP="00070280">
            <w:pPr>
              <w:spacing w:line="276" w:lineRule="auto"/>
              <w:rPr>
                <w:rFonts w:asciiTheme="majorBidi" w:hAnsiTheme="majorBidi" w:cstheme="majorBidi"/>
                <w:sz w:val="24"/>
                <w:szCs w:val="24"/>
              </w:rPr>
            </w:pPr>
          </w:p>
        </w:tc>
      </w:tr>
      <w:tr w:rsidR="001350D4" w:rsidTr="00070280">
        <w:tc>
          <w:tcPr>
            <w:tcW w:w="2689" w:type="dxa"/>
            <w:vAlign w:val="center"/>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Attentes de l’enseignant</w:t>
            </w:r>
          </w:p>
        </w:tc>
        <w:tc>
          <w:tcPr>
            <w:tcW w:w="6371"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Transmettre le message clairement, accomplir les objectifs visés (100%).</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Accompagner les étudiants dans leur apprentissage et répondre à leurs questions.</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Favoriser un climat de respect, de collaboration et de rigueur scientifique.</w:t>
            </w:r>
          </w:p>
          <w:p w:rsidR="001350D4" w:rsidRDefault="001350D4" w:rsidP="00070280">
            <w:pPr>
              <w:spacing w:line="276" w:lineRule="auto"/>
              <w:rPr>
                <w:rFonts w:asciiTheme="majorBidi" w:hAnsiTheme="majorBidi" w:cstheme="majorBidi"/>
                <w:sz w:val="24"/>
                <w:szCs w:val="24"/>
              </w:rPr>
            </w:pPr>
          </w:p>
        </w:tc>
      </w:tr>
    </w:tbl>
    <w:p w:rsidR="001350D4" w:rsidRDefault="001350D4" w:rsidP="001350D4">
      <w:pPr>
        <w:spacing w:line="276" w:lineRule="auto"/>
        <w:rPr>
          <w:rFonts w:asciiTheme="majorBidi" w:hAnsiTheme="majorBidi" w:cstheme="majorBidi"/>
          <w:sz w:val="24"/>
          <w:szCs w:val="24"/>
        </w:rPr>
      </w:pPr>
    </w:p>
    <w:tbl>
      <w:tblPr>
        <w:tblStyle w:val="Grilledutableau"/>
        <w:tblW w:w="0" w:type="auto"/>
        <w:tblLook w:val="04A0" w:firstRow="1" w:lastRow="0" w:firstColumn="1" w:lastColumn="0" w:noHBand="0" w:noVBand="1"/>
      </w:tblPr>
      <w:tblGrid>
        <w:gridCol w:w="2689"/>
        <w:gridCol w:w="6371"/>
      </w:tblGrid>
      <w:tr w:rsidR="001350D4" w:rsidTr="00070280">
        <w:tc>
          <w:tcPr>
            <w:tcW w:w="9060" w:type="dxa"/>
            <w:gridSpan w:val="2"/>
            <w:shd w:val="clear" w:color="auto" w:fill="F2F2F2" w:themeFill="background1" w:themeFillShade="F2"/>
          </w:tcPr>
          <w:p w:rsidR="001350D4" w:rsidRDefault="001350D4" w:rsidP="00070280">
            <w:pPr>
              <w:spacing w:line="276" w:lineRule="auto"/>
              <w:rPr>
                <w:rFonts w:asciiTheme="majorBidi" w:hAnsiTheme="majorBidi" w:cstheme="majorBidi"/>
                <w:b/>
                <w:bCs/>
                <w:sz w:val="24"/>
                <w:szCs w:val="24"/>
              </w:rPr>
            </w:pPr>
            <w:r>
              <w:rPr>
                <w:rFonts w:asciiTheme="majorBidi" w:hAnsiTheme="majorBidi" w:cstheme="majorBidi"/>
                <w:b/>
                <w:bCs/>
                <w:sz w:val="24"/>
                <w:szCs w:val="24"/>
              </w:rPr>
              <w:t>BIBLIOGRAPHIE</w:t>
            </w:r>
          </w:p>
        </w:tc>
      </w:tr>
      <w:tr w:rsidR="001350D4" w:rsidTr="00070280">
        <w:tc>
          <w:tcPr>
            <w:tcW w:w="26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Livres et ressources numériques</w:t>
            </w:r>
          </w:p>
        </w:tc>
        <w:tc>
          <w:tcPr>
            <w:tcW w:w="6371" w:type="dxa"/>
          </w:tcPr>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-Viala A, Botta A. </w:t>
            </w:r>
            <w:r>
              <w:rPr>
                <w:rFonts w:asciiTheme="majorBidi" w:eastAsia="Times New Roman" w:hAnsiTheme="majorBidi" w:cstheme="majorBidi"/>
                <w:i/>
                <w:iCs/>
                <w:sz w:val="24"/>
                <w:szCs w:val="24"/>
              </w:rPr>
              <w:t>Toxicologie</w:t>
            </w:r>
            <w:r>
              <w:rPr>
                <w:rFonts w:asciiTheme="majorBidi" w:eastAsia="Times New Roman" w:hAnsiTheme="majorBidi" w:cstheme="majorBidi"/>
                <w:sz w:val="24"/>
                <w:szCs w:val="24"/>
              </w:rPr>
              <w:t>. Paris: Lavoisier; 2005.</w:t>
            </w:r>
          </w:p>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-Viala A. </w:t>
            </w:r>
            <w:r>
              <w:rPr>
                <w:rFonts w:asciiTheme="majorBidi" w:eastAsia="Times New Roman" w:hAnsiTheme="majorBidi" w:cstheme="majorBidi"/>
                <w:i/>
                <w:iCs/>
                <w:sz w:val="24"/>
                <w:szCs w:val="24"/>
              </w:rPr>
              <w:t>Éléments de toxicologie</w:t>
            </w:r>
            <w:r>
              <w:rPr>
                <w:rFonts w:asciiTheme="majorBidi" w:eastAsia="Times New Roman" w:hAnsiTheme="majorBidi" w:cstheme="majorBidi"/>
                <w:sz w:val="24"/>
                <w:szCs w:val="24"/>
              </w:rPr>
              <w:t>. Paris: Tec &amp; Doc Lavoisier; 1998.</w:t>
            </w:r>
          </w:p>
          <w:p w:rsidR="001350D4"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rPr>
              <w:t xml:space="preserve">-Ramade F. </w:t>
            </w:r>
            <w:r>
              <w:rPr>
                <w:rFonts w:asciiTheme="majorBidi" w:eastAsia="Times New Roman" w:hAnsiTheme="majorBidi" w:cstheme="majorBidi"/>
                <w:i/>
                <w:iCs/>
                <w:sz w:val="24"/>
                <w:szCs w:val="24"/>
              </w:rPr>
              <w:t>Introduction à l'écotoxicologie : Fondements et applications</w:t>
            </w:r>
            <w:r>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lang w:val="en-US"/>
              </w:rPr>
              <w:t>Paris: Lavoisier–Tec &amp; Doc; 2007.</w:t>
            </w:r>
          </w:p>
          <w:p w:rsidR="001350D4"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t xml:space="preserve">-Burns DL. </w:t>
            </w:r>
            <w:r>
              <w:rPr>
                <w:rFonts w:asciiTheme="majorBidi" w:eastAsia="Times New Roman" w:hAnsiTheme="majorBidi" w:cstheme="majorBidi"/>
                <w:i/>
                <w:iCs/>
                <w:sz w:val="24"/>
                <w:szCs w:val="24"/>
                <w:lang w:val="en-US"/>
              </w:rPr>
              <w:t>Bacterial Protein Toxins</w:t>
            </w:r>
            <w:r>
              <w:rPr>
                <w:rFonts w:asciiTheme="majorBidi" w:eastAsia="Times New Roman" w:hAnsiTheme="majorBidi" w:cstheme="majorBidi"/>
                <w:sz w:val="24"/>
                <w:szCs w:val="24"/>
                <w:lang w:val="en-US"/>
              </w:rPr>
              <w:t>. Washington, DC: ASM Press; 2003.</w:t>
            </w:r>
          </w:p>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lang w:val="en-US"/>
              </w:rPr>
              <w:t xml:space="preserve">-Rang HP, Ritter JM, Flower RJ, Henderson G. </w:t>
            </w:r>
            <w:r>
              <w:rPr>
                <w:rFonts w:asciiTheme="majorBidi" w:eastAsia="Times New Roman" w:hAnsiTheme="majorBidi" w:cstheme="majorBidi"/>
                <w:i/>
                <w:iCs/>
                <w:sz w:val="24"/>
                <w:szCs w:val="24"/>
                <w:lang w:val="en-US"/>
              </w:rPr>
              <w:t>Rang and Dale's Pharmacology</w:t>
            </w:r>
            <w:r>
              <w:rPr>
                <w:rFonts w:asciiTheme="majorBidi" w:eastAsia="Times New Roman" w:hAnsiTheme="majorBidi" w:cstheme="majorBidi"/>
                <w:sz w:val="24"/>
                <w:szCs w:val="24"/>
                <w:lang w:val="en-US"/>
              </w:rPr>
              <w:t xml:space="preserve">. </w:t>
            </w:r>
            <w:r>
              <w:rPr>
                <w:rFonts w:asciiTheme="majorBidi" w:eastAsia="Times New Roman" w:hAnsiTheme="majorBidi" w:cstheme="majorBidi"/>
                <w:sz w:val="24"/>
                <w:szCs w:val="24"/>
              </w:rPr>
              <w:t>7th ed. Paris: Elsevier Masson; 2012.</w:t>
            </w:r>
          </w:p>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-Preat V, Roland-Marcelle N, Van Den Abeele B. </w:t>
            </w:r>
            <w:r>
              <w:rPr>
                <w:rFonts w:asciiTheme="majorBidi" w:eastAsia="Times New Roman" w:hAnsiTheme="majorBidi" w:cstheme="majorBidi"/>
                <w:i/>
                <w:iCs/>
                <w:sz w:val="24"/>
                <w:szCs w:val="24"/>
              </w:rPr>
              <w:t>Histoire de la pharmacie galénique : L'art de préparer les médicaments de Galien à nos jours</w:t>
            </w:r>
            <w:r>
              <w:rPr>
                <w:rFonts w:asciiTheme="majorBidi" w:eastAsia="Times New Roman" w:hAnsiTheme="majorBidi" w:cstheme="majorBidi"/>
                <w:sz w:val="24"/>
                <w:szCs w:val="24"/>
              </w:rPr>
              <w:t>. Louvain-la-Neuve: Presses universitaires de Louvain; 2007.</w:t>
            </w:r>
          </w:p>
          <w:p w:rsidR="001350D4" w:rsidRPr="00F26E6D" w:rsidRDefault="001350D4" w:rsidP="00070280">
            <w:pPr>
              <w:spacing w:line="276" w:lineRule="auto"/>
              <w:rPr>
                <w:rFonts w:asciiTheme="majorBidi" w:eastAsia="Times New Roman" w:hAnsiTheme="majorBidi" w:cstheme="majorBidi"/>
                <w:sz w:val="24"/>
                <w:szCs w:val="24"/>
                <w:lang w:val="en-US"/>
              </w:rPr>
            </w:pPr>
            <w:r w:rsidRPr="00F26E6D">
              <w:rPr>
                <w:rFonts w:asciiTheme="majorBidi" w:eastAsia="Times New Roman" w:hAnsiTheme="majorBidi" w:cstheme="majorBidi"/>
                <w:sz w:val="24"/>
                <w:szCs w:val="24"/>
              </w:rPr>
              <w:t xml:space="preserve">-Clements PJ, Bolon B, McInnes E, Mukaratirwa S, Scudamore C. Animal Models in Toxicologic Research: Rodents. </w:t>
            </w:r>
            <w:r>
              <w:rPr>
                <w:rFonts w:asciiTheme="majorBidi" w:eastAsia="Times New Roman" w:hAnsiTheme="majorBidi" w:cstheme="majorBidi"/>
                <w:sz w:val="24"/>
                <w:szCs w:val="24"/>
                <w:lang w:val="en-US"/>
              </w:rPr>
              <w:t xml:space="preserve">In: Haschek WM, Rousseaux CG, Wallig MA, editors. </w:t>
            </w:r>
            <w:r>
              <w:rPr>
                <w:rFonts w:asciiTheme="majorBidi" w:eastAsia="Times New Roman" w:hAnsiTheme="majorBidi" w:cstheme="majorBidi"/>
                <w:i/>
                <w:iCs/>
                <w:sz w:val="24"/>
                <w:szCs w:val="24"/>
                <w:lang w:val="en-US"/>
              </w:rPr>
              <w:t>Haschek and Rousseaux's Handbook of Toxicologic Pathology</w:t>
            </w:r>
            <w:r>
              <w:rPr>
                <w:rFonts w:asciiTheme="majorBidi" w:eastAsia="Times New Roman" w:hAnsiTheme="majorBidi" w:cstheme="majorBidi"/>
                <w:sz w:val="24"/>
                <w:szCs w:val="24"/>
                <w:lang w:val="en-US"/>
              </w:rPr>
              <w:t xml:space="preserve">. </w:t>
            </w:r>
            <w:r w:rsidRPr="00F26E6D">
              <w:rPr>
                <w:rFonts w:asciiTheme="majorBidi" w:eastAsia="Times New Roman" w:hAnsiTheme="majorBidi" w:cstheme="majorBidi"/>
                <w:sz w:val="24"/>
                <w:szCs w:val="24"/>
                <w:lang w:val="en-US"/>
              </w:rPr>
              <w:t>4th ed. Academic Press; 2022. p. 653-694.</w:t>
            </w:r>
          </w:p>
          <w:p w:rsidR="001350D4" w:rsidRPr="00F26E6D"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t xml:space="preserve">-Waller DG, Sampson AP. Pharmacokinetics. In: </w:t>
            </w:r>
            <w:r>
              <w:rPr>
                <w:rFonts w:asciiTheme="majorBidi" w:eastAsia="Times New Roman" w:hAnsiTheme="majorBidi" w:cstheme="majorBidi"/>
                <w:i/>
                <w:iCs/>
                <w:sz w:val="24"/>
                <w:szCs w:val="24"/>
                <w:lang w:val="en-US"/>
              </w:rPr>
              <w:t>Medical Pharmacology and Therapeutics</w:t>
            </w:r>
            <w:r>
              <w:rPr>
                <w:rFonts w:asciiTheme="majorBidi" w:eastAsia="Times New Roman" w:hAnsiTheme="majorBidi" w:cstheme="majorBidi"/>
                <w:sz w:val="24"/>
                <w:szCs w:val="24"/>
                <w:lang w:val="en-US"/>
              </w:rPr>
              <w:t xml:space="preserve">. </w:t>
            </w:r>
            <w:r w:rsidRPr="00F26E6D">
              <w:rPr>
                <w:rFonts w:asciiTheme="majorBidi" w:eastAsia="Times New Roman" w:hAnsiTheme="majorBidi" w:cstheme="majorBidi"/>
                <w:sz w:val="24"/>
                <w:szCs w:val="24"/>
                <w:lang w:val="en-US"/>
              </w:rPr>
              <w:t>5th ed. Elsevier; 2018. p. 33-62.</w:t>
            </w:r>
          </w:p>
          <w:p w:rsidR="001350D4" w:rsidRDefault="001350D4" w:rsidP="00070280">
            <w:pPr>
              <w:spacing w:line="276" w:lineRule="auto"/>
              <w:rPr>
                <w:rFonts w:asciiTheme="majorBidi" w:hAnsiTheme="majorBidi" w:cstheme="majorBidi"/>
                <w:sz w:val="24"/>
                <w:szCs w:val="24"/>
                <w:lang w:val="en-US"/>
              </w:rPr>
            </w:pPr>
            <w:r>
              <w:rPr>
                <w:rFonts w:asciiTheme="majorBidi" w:hAnsiTheme="majorBidi" w:cstheme="majorBidi"/>
                <w:sz w:val="24"/>
                <w:szCs w:val="24"/>
                <w:lang w:val="en-US"/>
              </w:rPr>
              <w:t>-Allen LV Jr. Ansel's Pharmaceutical Dosage Forms and Drug Delivery Systems. 12th ed. Philadelphia: Wolters Kluwer; 2022.</w:t>
            </w:r>
          </w:p>
        </w:tc>
      </w:tr>
      <w:tr w:rsidR="001350D4" w:rsidTr="00070280">
        <w:tc>
          <w:tcPr>
            <w:tcW w:w="26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lang w:val="en-US"/>
              </w:rPr>
              <w:t xml:space="preserve"> </w:t>
            </w:r>
            <w:r>
              <w:rPr>
                <w:rFonts w:asciiTheme="majorBidi" w:hAnsiTheme="majorBidi" w:cstheme="majorBidi"/>
                <w:sz w:val="24"/>
                <w:szCs w:val="24"/>
              </w:rPr>
              <w:t>Articles</w:t>
            </w:r>
          </w:p>
        </w:tc>
        <w:tc>
          <w:tcPr>
            <w:tcW w:w="6371" w:type="dxa"/>
          </w:tcPr>
          <w:p w:rsidR="001350D4"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t xml:space="preserve">Verma SK, Nandi A, Sinha A, Patel P, Mohanty S, Jha E, et </w:t>
            </w:r>
            <w:r>
              <w:rPr>
                <w:rFonts w:asciiTheme="majorBidi" w:eastAsia="Times New Roman" w:hAnsiTheme="majorBidi" w:cstheme="majorBidi"/>
                <w:i/>
                <w:iCs/>
                <w:sz w:val="24"/>
                <w:szCs w:val="24"/>
                <w:lang w:val="en-US"/>
              </w:rPr>
              <w:t>al.</w:t>
            </w:r>
            <w:r>
              <w:rPr>
                <w:rFonts w:asciiTheme="majorBidi" w:eastAsia="Times New Roman" w:hAnsiTheme="majorBidi" w:cstheme="majorBidi"/>
                <w:sz w:val="24"/>
                <w:szCs w:val="24"/>
                <w:lang w:val="en-US"/>
              </w:rPr>
              <w:t xml:space="preserve"> The posterity of zebrafish in the paradigm of </w:t>
            </w:r>
            <w:r>
              <w:rPr>
                <w:rFonts w:asciiTheme="majorBidi" w:eastAsia="Times New Roman" w:hAnsiTheme="majorBidi" w:cstheme="majorBidi"/>
                <w:i/>
                <w:iCs/>
                <w:sz w:val="24"/>
                <w:szCs w:val="24"/>
                <w:lang w:val="en-US"/>
              </w:rPr>
              <w:t>in vivo</w:t>
            </w:r>
            <w:r>
              <w:rPr>
                <w:rFonts w:asciiTheme="majorBidi" w:eastAsia="Times New Roman" w:hAnsiTheme="majorBidi" w:cstheme="majorBidi"/>
                <w:sz w:val="24"/>
                <w:szCs w:val="24"/>
                <w:lang w:val="en-US"/>
              </w:rPr>
              <w:t xml:space="preserve"> molecular toxicological profiling. </w:t>
            </w:r>
            <w:r>
              <w:rPr>
                <w:rFonts w:asciiTheme="majorBidi" w:eastAsia="Times New Roman" w:hAnsiTheme="majorBidi" w:cstheme="majorBidi"/>
                <w:i/>
                <w:iCs/>
                <w:sz w:val="24"/>
                <w:szCs w:val="24"/>
                <w:lang w:val="en-US"/>
              </w:rPr>
              <w:t>Biomed Pharmacother.</w:t>
            </w:r>
            <w:r>
              <w:rPr>
                <w:rFonts w:asciiTheme="majorBidi" w:eastAsia="Times New Roman" w:hAnsiTheme="majorBidi" w:cstheme="majorBidi"/>
                <w:sz w:val="24"/>
                <w:szCs w:val="24"/>
                <w:lang w:val="en-US"/>
              </w:rPr>
              <w:t xml:space="preserve"> 2024;171:116160.</w:t>
            </w:r>
          </w:p>
          <w:p w:rsidR="001350D4" w:rsidRDefault="001350D4" w:rsidP="00070280">
            <w:pPr>
              <w:spacing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lang w:val="en-US"/>
              </w:rPr>
              <w:lastRenderedPageBreak/>
              <w:t xml:space="preserve">Currie GM. Pharmacology, Part 1: Introduction to Pharmacology and Pharmacodynamics. </w:t>
            </w:r>
            <w:r w:rsidRPr="001350D4">
              <w:rPr>
                <w:rFonts w:asciiTheme="majorBidi" w:eastAsia="Times New Roman" w:hAnsiTheme="majorBidi" w:cstheme="majorBidi"/>
                <w:i/>
                <w:iCs/>
                <w:sz w:val="24"/>
                <w:szCs w:val="24"/>
              </w:rPr>
              <w:t>J Nucl Med Technol.</w:t>
            </w:r>
            <w:r w:rsidRPr="001350D4">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2018;46(2):81-86.</w:t>
            </w:r>
          </w:p>
          <w:p w:rsidR="001350D4" w:rsidRPr="00F26E6D"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rPr>
              <w:t xml:space="preserve">Les mycotoxines en alimentation humaine : un défi pour la recherche. </w:t>
            </w:r>
            <w:r w:rsidRPr="00F26E6D">
              <w:rPr>
                <w:rFonts w:asciiTheme="majorBidi" w:eastAsia="Times New Roman" w:hAnsiTheme="majorBidi" w:cstheme="majorBidi"/>
                <w:i/>
                <w:iCs/>
                <w:sz w:val="24"/>
                <w:szCs w:val="24"/>
                <w:lang w:val="en-US"/>
              </w:rPr>
              <w:t>Cah Nutr Diét.</w:t>
            </w:r>
            <w:r w:rsidRPr="00F26E6D">
              <w:rPr>
                <w:rFonts w:asciiTheme="majorBidi" w:eastAsia="Times New Roman" w:hAnsiTheme="majorBidi" w:cstheme="majorBidi"/>
                <w:sz w:val="24"/>
                <w:szCs w:val="24"/>
                <w:lang w:val="en-US"/>
              </w:rPr>
              <w:t xml:space="preserve"> 2021;56(3):170-183.</w:t>
            </w:r>
          </w:p>
          <w:p w:rsidR="001350D4" w:rsidRPr="00F26E6D"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t xml:space="preserve">Boshra M.H., El-Housseiny G.S., Farag M.M.S. Innovative approaches for mycotoxin detection in various food categories. </w:t>
            </w:r>
            <w:r w:rsidRPr="00F26E6D">
              <w:rPr>
                <w:rFonts w:asciiTheme="majorBidi" w:eastAsia="Times New Roman" w:hAnsiTheme="majorBidi" w:cstheme="majorBidi"/>
                <w:sz w:val="24"/>
                <w:szCs w:val="24"/>
                <w:lang w:val="en-US"/>
              </w:rPr>
              <w:t>AMB Express. 2024;14:7. doi:10.1186/s13568-024-01662-y.</w:t>
            </w:r>
          </w:p>
          <w:p w:rsidR="001350D4" w:rsidRPr="00F26E6D" w:rsidRDefault="001350D4" w:rsidP="00070280">
            <w:pPr>
              <w:spacing w:line="276" w:lineRule="auto"/>
              <w:rPr>
                <w:rFonts w:asciiTheme="majorBidi" w:eastAsia="Times New Roman" w:hAnsiTheme="majorBidi" w:cstheme="majorBidi"/>
                <w:sz w:val="24"/>
                <w:szCs w:val="24"/>
                <w:lang w:val="en-US"/>
              </w:rPr>
            </w:pPr>
            <w:r w:rsidRPr="00F26E6D">
              <w:rPr>
                <w:rFonts w:asciiTheme="majorBidi" w:eastAsia="Times New Roman" w:hAnsiTheme="majorBidi" w:cstheme="majorBidi"/>
                <w:sz w:val="24"/>
                <w:szCs w:val="24"/>
                <w:lang w:val="en-US"/>
              </w:rPr>
              <w:t xml:space="preserve">Virzì G.M., Clementi A., et al. </w:t>
            </w:r>
            <w:r>
              <w:rPr>
                <w:rFonts w:asciiTheme="majorBidi" w:eastAsia="Times New Roman" w:hAnsiTheme="majorBidi" w:cstheme="majorBidi"/>
                <w:sz w:val="24"/>
                <w:szCs w:val="24"/>
                <w:lang w:val="en-US"/>
              </w:rPr>
              <w:t xml:space="preserve">Endotoxin in sepsis: methods for LPS detection and the use of endotoxin assays. </w:t>
            </w:r>
            <w:r w:rsidRPr="00F26E6D">
              <w:rPr>
                <w:rFonts w:asciiTheme="majorBidi" w:eastAsia="Times New Roman" w:hAnsiTheme="majorBidi" w:cstheme="majorBidi"/>
                <w:sz w:val="24"/>
                <w:szCs w:val="24"/>
                <w:lang w:val="en-US"/>
              </w:rPr>
              <w:t>Int J Mol Sci. 2022.</w:t>
            </w:r>
          </w:p>
          <w:p w:rsidR="001350D4" w:rsidRDefault="001350D4" w:rsidP="00070280">
            <w:pPr>
              <w:spacing w:line="276" w:lineRule="auto"/>
              <w:rPr>
                <w:rFonts w:asciiTheme="majorBidi" w:eastAsia="Times New Roman" w:hAnsiTheme="majorBidi" w:cstheme="majorBidi"/>
                <w:sz w:val="24"/>
                <w:szCs w:val="24"/>
                <w:lang w:val="en-US"/>
              </w:rPr>
            </w:pPr>
            <w:r>
              <w:rPr>
                <w:rFonts w:asciiTheme="majorBidi" w:eastAsia="Times New Roman" w:hAnsiTheme="majorBidi" w:cstheme="majorBidi"/>
                <w:sz w:val="24"/>
                <w:szCs w:val="24"/>
                <w:lang w:val="en-US"/>
              </w:rPr>
              <w:t xml:space="preserve">Croom E. Metabolism of xenobiotics of human environments. </w:t>
            </w:r>
            <w:r>
              <w:rPr>
                <w:rFonts w:asciiTheme="majorBidi" w:eastAsia="Times New Roman" w:hAnsiTheme="majorBidi" w:cstheme="majorBidi"/>
                <w:i/>
                <w:iCs/>
                <w:sz w:val="24"/>
                <w:szCs w:val="24"/>
                <w:lang w:val="en-US"/>
              </w:rPr>
              <w:t>Prog Mol Biol Transl Sci.</w:t>
            </w:r>
            <w:r>
              <w:rPr>
                <w:rFonts w:asciiTheme="majorBidi" w:eastAsia="Times New Roman" w:hAnsiTheme="majorBidi" w:cstheme="majorBidi"/>
                <w:sz w:val="24"/>
                <w:szCs w:val="24"/>
                <w:lang w:val="en-US"/>
              </w:rPr>
              <w:t xml:space="preserve"> 2012;112:31-88. doi: 10.1016/B978-0-12-415813-9.00003-9. PMID: 22974737.</w:t>
            </w:r>
          </w:p>
          <w:p w:rsidR="001350D4" w:rsidRDefault="001350D4" w:rsidP="00070280">
            <w:pPr>
              <w:spacing w:line="276" w:lineRule="auto"/>
              <w:rPr>
                <w:rFonts w:asciiTheme="majorBidi" w:hAnsiTheme="majorBidi" w:cstheme="majorBidi"/>
                <w:sz w:val="24"/>
                <w:szCs w:val="24"/>
                <w:lang w:val="en-US"/>
              </w:rPr>
            </w:pPr>
          </w:p>
        </w:tc>
      </w:tr>
      <w:tr w:rsidR="001350D4" w:rsidTr="00070280">
        <w:trPr>
          <w:trHeight w:val="479"/>
        </w:trPr>
        <w:tc>
          <w:tcPr>
            <w:tcW w:w="26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lastRenderedPageBreak/>
              <w:t>Polycopiés</w:t>
            </w:r>
          </w:p>
        </w:tc>
        <w:tc>
          <w:tcPr>
            <w:tcW w:w="6371" w:type="dxa"/>
          </w:tcPr>
          <w:p w:rsidR="001350D4" w:rsidRDefault="001350D4" w:rsidP="00070280">
            <w:pPr>
              <w:spacing w:line="276" w:lineRule="auto"/>
              <w:rPr>
                <w:rFonts w:asciiTheme="majorBidi" w:hAnsiTheme="majorBidi" w:cstheme="majorBidi"/>
                <w:sz w:val="24"/>
                <w:szCs w:val="24"/>
              </w:rPr>
            </w:pPr>
          </w:p>
        </w:tc>
      </w:tr>
      <w:tr w:rsidR="001350D4" w:rsidTr="00070280">
        <w:tc>
          <w:tcPr>
            <w:tcW w:w="2689" w:type="dxa"/>
          </w:tcPr>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Sites Web</w:t>
            </w:r>
          </w:p>
          <w:p w:rsidR="001350D4" w:rsidRDefault="001350D4" w:rsidP="00070280">
            <w:pPr>
              <w:spacing w:line="276" w:lineRule="auto"/>
              <w:rPr>
                <w:rFonts w:asciiTheme="majorBidi" w:hAnsiTheme="majorBidi" w:cstheme="majorBidi"/>
                <w:sz w:val="24"/>
                <w:szCs w:val="24"/>
              </w:rPr>
            </w:pPr>
          </w:p>
        </w:tc>
        <w:tc>
          <w:tcPr>
            <w:tcW w:w="6371" w:type="dxa"/>
          </w:tcPr>
          <w:p w:rsidR="001350D4" w:rsidRDefault="001350D4" w:rsidP="001350D4">
            <w:pPr>
              <w:pStyle w:val="Paragraphedeliste"/>
              <w:numPr>
                <w:ilvl w:val="0"/>
                <w:numId w:val="3"/>
              </w:numPr>
              <w:spacing w:line="276" w:lineRule="auto"/>
              <w:rPr>
                <w:rFonts w:asciiTheme="majorBidi" w:eastAsia="Times New Roman" w:hAnsiTheme="majorBidi" w:cstheme="majorBidi"/>
                <w:sz w:val="24"/>
                <w:szCs w:val="24"/>
              </w:rPr>
            </w:pPr>
            <w:r w:rsidRPr="00587848">
              <w:rPr>
                <w:rFonts w:asciiTheme="majorBidi" w:hAnsiTheme="majorBidi" w:cstheme="majorBidi"/>
                <w:sz w:val="24"/>
                <w:szCs w:val="24"/>
              </w:rPr>
              <w:t xml:space="preserve">Les ressources pédagogiques du module s'appuient sur les publications et recommandations des principales institutions internationales de santé et de réglementation, notamment : </w:t>
            </w:r>
          </w:p>
          <w:p w:rsidR="001350D4" w:rsidRPr="00F26E6D" w:rsidRDefault="001350D4" w:rsidP="001350D4">
            <w:pPr>
              <w:pStyle w:val="Paragraphedeliste"/>
              <w:numPr>
                <w:ilvl w:val="0"/>
                <w:numId w:val="3"/>
              </w:numPr>
              <w:spacing w:line="276" w:lineRule="auto"/>
              <w:rPr>
                <w:rFonts w:asciiTheme="majorBidi" w:eastAsia="Times New Roman" w:hAnsiTheme="majorBidi" w:cstheme="majorBidi"/>
                <w:sz w:val="24"/>
                <w:szCs w:val="24"/>
                <w:lang w:val="en-US"/>
              </w:rPr>
            </w:pPr>
            <w:r w:rsidRPr="00F26E6D">
              <w:rPr>
                <w:rFonts w:asciiTheme="majorBidi" w:eastAsia="Times New Roman" w:hAnsiTheme="majorBidi" w:cstheme="majorBidi"/>
                <w:b/>
                <w:bCs/>
                <w:sz w:val="24"/>
                <w:szCs w:val="24"/>
                <w:lang w:val="en-US"/>
              </w:rPr>
              <w:t>WHO (OMS)</w:t>
            </w:r>
            <w:r w:rsidRPr="00F26E6D">
              <w:rPr>
                <w:rFonts w:asciiTheme="majorBidi" w:eastAsia="Times New Roman" w:hAnsiTheme="majorBidi" w:cstheme="majorBidi"/>
                <w:sz w:val="24"/>
                <w:szCs w:val="24"/>
                <w:lang w:val="en-US"/>
              </w:rPr>
              <w:t xml:space="preserve"> – World Health Organization (</w:t>
            </w:r>
            <w:r w:rsidRPr="00F26E6D">
              <w:rPr>
                <w:rFonts w:asciiTheme="majorBidi" w:hAnsiTheme="majorBidi" w:cstheme="majorBidi"/>
                <w:sz w:val="24"/>
                <w:szCs w:val="24"/>
                <w:lang w:val="en-US"/>
              </w:rPr>
              <w:t>https://www.who.int/)</w:t>
            </w:r>
          </w:p>
          <w:p w:rsidR="001350D4" w:rsidRPr="00587848" w:rsidRDefault="001350D4" w:rsidP="001350D4">
            <w:pPr>
              <w:pStyle w:val="Paragraphedeliste"/>
              <w:numPr>
                <w:ilvl w:val="0"/>
                <w:numId w:val="3"/>
              </w:numPr>
              <w:spacing w:line="276" w:lineRule="auto"/>
              <w:rPr>
                <w:rFonts w:asciiTheme="majorBidi" w:eastAsia="Times New Roman" w:hAnsiTheme="majorBidi" w:cstheme="majorBidi"/>
                <w:sz w:val="24"/>
                <w:szCs w:val="24"/>
                <w:lang w:val="en-US"/>
              </w:rPr>
            </w:pPr>
            <w:r w:rsidRPr="00587848">
              <w:rPr>
                <w:rFonts w:asciiTheme="majorBidi" w:eastAsia="Times New Roman" w:hAnsiTheme="majorBidi" w:cstheme="majorBidi"/>
                <w:b/>
                <w:bCs/>
                <w:sz w:val="24"/>
                <w:szCs w:val="24"/>
                <w:lang w:val="en-US"/>
              </w:rPr>
              <w:t>EMA</w:t>
            </w:r>
            <w:r w:rsidRPr="00587848">
              <w:rPr>
                <w:rFonts w:asciiTheme="majorBidi" w:eastAsia="Times New Roman" w:hAnsiTheme="majorBidi" w:cstheme="majorBidi"/>
                <w:sz w:val="24"/>
                <w:szCs w:val="24"/>
                <w:lang w:val="en-US"/>
              </w:rPr>
              <w:t xml:space="preserve"> – European Medicines Agency (https://www.ema.europa.eu/en/homepage)</w:t>
            </w:r>
          </w:p>
          <w:p w:rsidR="001350D4" w:rsidRPr="00587848" w:rsidRDefault="001350D4" w:rsidP="001350D4">
            <w:pPr>
              <w:pStyle w:val="Paragraphedeliste"/>
              <w:numPr>
                <w:ilvl w:val="0"/>
                <w:numId w:val="3"/>
              </w:numPr>
              <w:spacing w:line="276" w:lineRule="auto"/>
              <w:rPr>
                <w:rFonts w:asciiTheme="majorBidi" w:eastAsia="Times New Roman" w:hAnsiTheme="majorBidi" w:cstheme="majorBidi"/>
                <w:sz w:val="24"/>
                <w:szCs w:val="24"/>
                <w:lang w:val="en-US"/>
              </w:rPr>
            </w:pPr>
            <w:r w:rsidRPr="00587848">
              <w:rPr>
                <w:rFonts w:asciiTheme="majorBidi" w:eastAsia="Times New Roman" w:hAnsiTheme="majorBidi" w:cstheme="majorBidi"/>
                <w:b/>
                <w:bCs/>
                <w:sz w:val="24"/>
                <w:szCs w:val="24"/>
                <w:lang w:val="en-US"/>
              </w:rPr>
              <w:t>FDA</w:t>
            </w:r>
            <w:r w:rsidRPr="00587848">
              <w:rPr>
                <w:rFonts w:asciiTheme="majorBidi" w:eastAsia="Times New Roman" w:hAnsiTheme="majorBidi" w:cstheme="majorBidi"/>
                <w:sz w:val="24"/>
                <w:szCs w:val="24"/>
                <w:lang w:val="en-US"/>
              </w:rPr>
              <w:t xml:space="preserve"> – U.S. Food and Drug Administration </w:t>
            </w:r>
          </w:p>
          <w:p w:rsidR="001350D4" w:rsidRPr="00587848" w:rsidRDefault="001350D4" w:rsidP="001350D4">
            <w:pPr>
              <w:pStyle w:val="Paragraphedeliste"/>
              <w:numPr>
                <w:ilvl w:val="0"/>
                <w:numId w:val="3"/>
              </w:numPr>
              <w:spacing w:line="276" w:lineRule="auto"/>
              <w:rPr>
                <w:rFonts w:asciiTheme="majorBidi" w:eastAsia="Times New Roman" w:hAnsiTheme="majorBidi" w:cstheme="majorBidi"/>
                <w:sz w:val="24"/>
                <w:szCs w:val="24"/>
                <w:lang w:val="en-US"/>
              </w:rPr>
            </w:pPr>
            <w:r w:rsidRPr="00587848">
              <w:rPr>
                <w:rFonts w:asciiTheme="majorBidi" w:eastAsia="Times New Roman" w:hAnsiTheme="majorBidi" w:cstheme="majorBidi"/>
                <w:b/>
                <w:bCs/>
                <w:sz w:val="24"/>
                <w:szCs w:val="24"/>
                <w:lang w:val="en-US"/>
              </w:rPr>
              <w:t>CDC</w:t>
            </w:r>
            <w:r w:rsidRPr="00587848">
              <w:rPr>
                <w:rFonts w:asciiTheme="majorBidi" w:eastAsia="Times New Roman" w:hAnsiTheme="majorBidi" w:cstheme="majorBidi"/>
                <w:sz w:val="24"/>
                <w:szCs w:val="24"/>
                <w:lang w:val="en-US"/>
              </w:rPr>
              <w:t xml:space="preserve"> – Centers for Disease Control and Prevention </w:t>
            </w:r>
          </w:p>
          <w:p w:rsidR="001350D4" w:rsidRPr="00587848" w:rsidRDefault="001350D4" w:rsidP="001350D4">
            <w:pPr>
              <w:pStyle w:val="Paragraphedeliste"/>
              <w:numPr>
                <w:ilvl w:val="0"/>
                <w:numId w:val="3"/>
              </w:numPr>
              <w:spacing w:line="276" w:lineRule="auto"/>
              <w:rPr>
                <w:rFonts w:asciiTheme="majorBidi" w:eastAsia="Times New Roman" w:hAnsiTheme="majorBidi" w:cstheme="majorBidi"/>
                <w:sz w:val="24"/>
                <w:szCs w:val="24"/>
                <w:lang w:val="en-US"/>
              </w:rPr>
            </w:pPr>
            <w:r w:rsidRPr="00587848">
              <w:rPr>
                <w:rFonts w:asciiTheme="majorBidi" w:eastAsia="Times New Roman" w:hAnsiTheme="majorBidi" w:cstheme="majorBidi"/>
                <w:b/>
                <w:bCs/>
                <w:sz w:val="24"/>
                <w:szCs w:val="24"/>
                <w:lang w:val="en-US"/>
              </w:rPr>
              <w:t>ECDC</w:t>
            </w:r>
            <w:r w:rsidRPr="00587848">
              <w:rPr>
                <w:rFonts w:asciiTheme="majorBidi" w:eastAsia="Times New Roman" w:hAnsiTheme="majorBidi" w:cstheme="majorBidi"/>
                <w:sz w:val="24"/>
                <w:szCs w:val="24"/>
                <w:lang w:val="en-US"/>
              </w:rPr>
              <w:t xml:space="preserve"> – European Centre for Disease Prevention and Control </w:t>
            </w:r>
          </w:p>
          <w:p w:rsidR="001350D4" w:rsidRPr="00587848" w:rsidRDefault="001350D4" w:rsidP="001350D4">
            <w:pPr>
              <w:pStyle w:val="Paragraphedeliste"/>
              <w:numPr>
                <w:ilvl w:val="0"/>
                <w:numId w:val="3"/>
              </w:numPr>
              <w:spacing w:line="276" w:lineRule="auto"/>
              <w:rPr>
                <w:rFonts w:asciiTheme="majorBidi" w:eastAsia="Times New Roman" w:hAnsiTheme="majorBidi" w:cstheme="majorBidi"/>
                <w:sz w:val="24"/>
                <w:szCs w:val="24"/>
              </w:rPr>
            </w:pPr>
            <w:r w:rsidRPr="00587848">
              <w:rPr>
                <w:rFonts w:asciiTheme="majorBidi" w:eastAsia="Times New Roman" w:hAnsiTheme="majorBidi" w:cstheme="majorBidi"/>
                <w:b/>
                <w:bCs/>
                <w:sz w:val="24"/>
                <w:szCs w:val="24"/>
              </w:rPr>
              <w:t>ECHA</w:t>
            </w:r>
            <w:r w:rsidRPr="00587848">
              <w:rPr>
                <w:rFonts w:asciiTheme="majorBidi" w:eastAsia="Times New Roman" w:hAnsiTheme="majorBidi" w:cstheme="majorBidi"/>
                <w:sz w:val="24"/>
                <w:szCs w:val="24"/>
              </w:rPr>
              <w:t xml:space="preserve"> – European Chemicals Agency</w:t>
            </w:r>
          </w:p>
          <w:p w:rsidR="001350D4" w:rsidRDefault="001350D4" w:rsidP="00070280">
            <w:pPr>
              <w:spacing w:line="276" w:lineRule="auto"/>
              <w:rPr>
                <w:rFonts w:asciiTheme="majorBidi" w:hAnsiTheme="majorBidi" w:cstheme="majorBidi"/>
                <w:sz w:val="24"/>
                <w:szCs w:val="24"/>
              </w:rPr>
            </w:pPr>
            <w:r>
              <w:rPr>
                <w:rFonts w:asciiTheme="majorBidi" w:hAnsiTheme="majorBidi" w:cstheme="majorBidi"/>
                <w:sz w:val="24"/>
                <w:szCs w:val="24"/>
              </w:rPr>
              <w:t>.</w:t>
            </w:r>
          </w:p>
        </w:tc>
      </w:tr>
    </w:tbl>
    <w:p w:rsidR="001350D4" w:rsidRDefault="001350D4" w:rsidP="001350D4">
      <w:pPr>
        <w:spacing w:line="276" w:lineRule="auto"/>
        <w:rPr>
          <w:rFonts w:asciiTheme="majorBidi" w:hAnsiTheme="majorBidi" w:cstheme="majorBidi"/>
          <w:sz w:val="24"/>
          <w:szCs w:val="24"/>
        </w:rPr>
      </w:pPr>
      <w:r>
        <w:rPr>
          <w:rFonts w:asciiTheme="majorBidi" w:hAnsiTheme="majorBidi" w:cstheme="majorBidi"/>
          <w:b/>
          <w:bCs/>
          <w:noProof/>
          <w:sz w:val="24"/>
          <w:szCs w:val="24"/>
          <w:u w:val="single"/>
          <w:lang w:eastAsia="fr-FR"/>
        </w:rPr>
        <mc:AlternateContent>
          <mc:Choice Requires="wps">
            <w:drawing>
              <wp:anchor distT="0" distB="0" distL="114300" distR="114300" simplePos="0" relativeHeight="251659264" behindDoc="0" locked="0" layoutInCell="1" allowOverlap="1" wp14:anchorId="242C08BD" wp14:editId="4857F4F4">
                <wp:simplePos x="0" y="0"/>
                <wp:positionH relativeFrom="column">
                  <wp:posOffset>1595120</wp:posOffset>
                </wp:positionH>
                <wp:positionV relativeFrom="paragraph">
                  <wp:posOffset>326390</wp:posOffset>
                </wp:positionV>
                <wp:extent cx="2857500" cy="1895475"/>
                <wp:effectExtent l="9525" t="6985" r="9525" b="12065"/>
                <wp:wrapNone/>
                <wp:docPr id="2"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rsidR="001350D4" w:rsidRDefault="001350D4" w:rsidP="001350D4">
                            <w:pPr>
                              <w:jc w:val="center"/>
                              <w:rPr>
                                <w:b/>
                                <w:bCs/>
                                <w:u w:val="single"/>
                              </w:rPr>
                            </w:pPr>
                            <w:r>
                              <w:rPr>
                                <w:b/>
                                <w:bCs/>
                                <w:u w:val="single"/>
                              </w:rPr>
                              <w:t>Cachet humide du département</w:t>
                            </w:r>
                          </w:p>
                          <w:p w:rsidR="001350D4" w:rsidRDefault="001350D4" w:rsidP="001350D4">
                            <w:pPr>
                              <w:jc w:val="center"/>
                              <w:rPr>
                                <w:b/>
                                <w:bCs/>
                                <w:u w:val="single"/>
                              </w:rPr>
                            </w:pPr>
                            <w:r w:rsidRPr="008D7178">
                              <w:rPr>
                                <w:noProof/>
                                <w:lang w:eastAsia="fr-FR"/>
                              </w:rPr>
                              <w:drawing>
                                <wp:inline distT="0" distB="0" distL="0" distR="0" wp14:anchorId="1D089F4A" wp14:editId="6ED39047">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C08BD"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UMAIAAFYEAAAOAAAAZHJzL2Uyb0RvYy54bWysVE2P2yAQvVfqf0DcGzvZeJO14qy22aaq&#10;tP2Qtr30hjG2UTFDgcROf30H7E3Tr0tVHxDDDG+G92a8uR06RY7COgm6oPNZSonQHCqpm4J++rh/&#10;sabEeaYrpkCLgp6Eo7fb5882vcnFAlpQlbAEQbTLe1PQ1nuTJ4njreiYm4ERGp012I55NG2TVJb1&#10;iN6pZJGm10kPtjIWuHAOT+9HJ91G/LoW3L+vayc8UQXF2nxcbVzLsCbbDcsby0wr+VQG+4cqOiY1&#10;Jj1D3TPPyMHK36A6yS04qP2MQ5dAXUsu4hvwNfP0l9c8tsyI+BYkx5kzTe7/wfJ3xw+WyKqgC0o0&#10;61CizygUqQTxYvCCXAWKeuNyjHw0GOuHlzCg1PG5zjwA/+KIhl3LdCPurIW+FazCEufhZnJxdcRx&#10;AaTs30KFudjBQwQaatsF/pARgugo1eksD9ZBOB4u1tkqS9HF0Tdf32TLVRZzsPzpurHOvxbQkbAp&#10;qEX9Izw7PjgfymH5U0jI5kDJai+VioZtyp2y5MiwV/bxm9B/ClOa9AW9vsrSkYG/QqTx+xNEJz02&#10;vZJdQdfnIJYH3l7pKrakZ1KNeyxZ6YnIwN3Ioh/KYRKmhOqElFoYmxuHETct2G+U9NjYBXVfD8wK&#10;StQbjbLczJfLMAnRWGarBRr20lNeepjmCFVQT8m43flxeg7GyqbFTGMjaLhDKWsZSQ6aj1VNdWPz&#10;Ru6nQQvTcWnHqB+/g+13AAAA//8DAFBLAwQUAAYACAAAACEApow94d4AAAAKAQAADwAAAGRycy9k&#10;b3ducmV2LnhtbEyPTU/DMAyG70j8h8hI3Fj6sY2t1J0ACQlxY/SyW9Z4bUXiVE22ln9PdoKj7Uev&#10;n7fczdaIC42+d4yQLhIQxI3TPbcI9dfbwwaED4q1Mo4J4Yc87Krbm1IV2k38SZd9aEUMYV8ohC6E&#10;oZDSNx1Z5RduII63kxutCnEcW6lHNcVwa2SWJGtpVc/xQ6cGeu2o+d6fLcL7+iUcqNYfOs9yN9Wy&#10;GU/GI97fzc9PIALN4Q+Gq35Uhyo6Hd2ZtRcGIVulWUQRVukSRAQek+viiJAvt1uQVSn/V6h+AQAA&#10;//8DAFBLAQItABQABgAIAAAAIQC2gziS/gAAAOEBAAATAAAAAAAAAAAAAAAAAAAAAABbQ29udGVu&#10;dF9UeXBlc10ueG1sUEsBAi0AFAAGAAgAAAAhADj9If/WAAAAlAEAAAsAAAAAAAAAAAAAAAAALwEA&#10;AF9yZWxzLy5yZWxzUEsBAi0AFAAGAAgAAAAhANT/0BQwAgAAVgQAAA4AAAAAAAAAAAAAAAAALgIA&#10;AGRycy9lMm9Eb2MueG1sUEsBAi0AFAAGAAgAAAAhAKaMPeHeAAAACgEAAA8AAAAAAAAAAAAAAAAA&#10;igQAAGRycy9kb3ducmV2LnhtbFBLBQYAAAAABAAEAPMAAACVBQAAAAA=&#10;" strokeweight=".5pt">
                <v:textbox>
                  <w:txbxContent>
                    <w:p w:rsidR="001350D4" w:rsidRDefault="001350D4" w:rsidP="001350D4">
                      <w:pPr>
                        <w:jc w:val="center"/>
                        <w:rPr>
                          <w:b/>
                          <w:bCs/>
                          <w:u w:val="single"/>
                        </w:rPr>
                      </w:pPr>
                      <w:r>
                        <w:rPr>
                          <w:b/>
                          <w:bCs/>
                          <w:u w:val="single"/>
                        </w:rPr>
                        <w:t>Cachet humide du département</w:t>
                      </w:r>
                    </w:p>
                    <w:p w:rsidR="001350D4" w:rsidRDefault="001350D4" w:rsidP="001350D4">
                      <w:pPr>
                        <w:jc w:val="center"/>
                        <w:rPr>
                          <w:b/>
                          <w:bCs/>
                          <w:u w:val="single"/>
                        </w:rPr>
                      </w:pPr>
                      <w:r w:rsidRPr="008D7178">
                        <w:rPr>
                          <w:noProof/>
                          <w:lang w:eastAsia="fr-FR"/>
                        </w:rPr>
                        <w:drawing>
                          <wp:inline distT="0" distB="0" distL="0" distR="0" wp14:anchorId="1D089F4A" wp14:editId="6ED39047">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v:textbox>
              </v:shape>
            </w:pict>
          </mc:Fallback>
        </mc:AlternateContent>
      </w:r>
    </w:p>
    <w:p w:rsidR="00F56F4F" w:rsidRDefault="00F56F4F">
      <w:bookmarkStart w:id="1" w:name="_GoBack"/>
      <w:bookmarkEnd w:id="1"/>
    </w:p>
    <w:sectPr w:rsidR="00F56F4F">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925C4"/>
    <w:multiLevelType w:val="hybridMultilevel"/>
    <w:tmpl w:val="064CF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493204"/>
    <w:multiLevelType w:val="multilevel"/>
    <w:tmpl w:val="214932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44E4FD2"/>
    <w:multiLevelType w:val="multilevel"/>
    <w:tmpl w:val="644E4F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0D4"/>
    <w:rsid w:val="001350D4"/>
    <w:rsid w:val="00F56F4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8ACA4-1B65-408A-8660-9016C3ED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0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qFormat/>
    <w:rsid w:val="001350D4"/>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39"/>
    <w:qFormat/>
    <w:rsid w:val="001350D4"/>
    <w:pPr>
      <w:spacing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350D4"/>
    <w:pPr>
      <w:ind w:left="720"/>
      <w:contextualSpacing/>
    </w:pPr>
  </w:style>
  <w:style w:type="character" w:styleId="Textedelespacerserv">
    <w:name w:val="Placeholder Text"/>
    <w:basedOn w:val="Policepardfaut"/>
    <w:uiPriority w:val="99"/>
    <w:semiHidden/>
    <w:qFormat/>
    <w:rsid w:val="001350D4"/>
    <w:rPr>
      <w:color w:val="808080"/>
    </w:rPr>
  </w:style>
  <w:style w:type="paragraph" w:customStyle="1" w:styleId="Default">
    <w:name w:val="Default"/>
    <w:basedOn w:val="Normal"/>
    <w:qFormat/>
    <w:rsid w:val="001350D4"/>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customStyle="1" w:styleId="Paragraphedeliste1">
    <w:name w:val="Paragraphe de liste1"/>
    <w:basedOn w:val="Normal"/>
    <w:qFormat/>
    <w:rsid w:val="001350D4"/>
    <w:pPr>
      <w:spacing w:before="100" w:beforeAutospacing="1" w:after="100" w:afterAutospacing="1" w:line="240" w:lineRule="auto"/>
      <w:contextualSpacing/>
    </w:pPr>
    <w:rPr>
      <w:rFonts w:ascii="Times New Roman" w:eastAsia="SimSun" w:hAnsi="Times New Roman" w:cs="Times New Roman"/>
      <w:sz w:val="24"/>
      <w:szCs w:val="24"/>
      <w:lang w:eastAsia="fr-FR"/>
    </w:rPr>
  </w:style>
  <w:style w:type="paragraph" w:customStyle="1" w:styleId="pdq2pgselectionanchorcontainer">
    <w:name w:val="pdq2pg_selectionanchorcontainer"/>
    <w:basedOn w:val="Normal"/>
    <w:qFormat/>
    <w:rsid w:val="001350D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B98FF28166448EC8B2CA5C9C9E7805D"/>
        <w:category>
          <w:name w:val="Général"/>
          <w:gallery w:val="placeholder"/>
        </w:category>
        <w:types>
          <w:type w:val="bbPlcHdr"/>
        </w:types>
        <w:behaviors>
          <w:behavior w:val="content"/>
        </w:behaviors>
        <w:guid w:val="{DF8671BF-864D-4652-BA7F-83359A6096F3}"/>
      </w:docPartPr>
      <w:docPartBody>
        <w:p w:rsidR="00000000" w:rsidRDefault="00E74050" w:rsidP="00E74050">
          <w:pPr>
            <w:pStyle w:val="AB98FF28166448EC8B2CA5C9C9E7805D"/>
          </w:pPr>
          <w:r>
            <w:rPr>
              <w:rStyle w:val="Textedelespacerserv"/>
            </w:rPr>
            <w:t>Cliquez ici pour entrer une date.</w:t>
          </w:r>
        </w:p>
      </w:docPartBody>
    </w:docPart>
    <w:docPart>
      <w:docPartPr>
        <w:name w:val="0637751005184150B4D1C61C4E4F38CA"/>
        <w:category>
          <w:name w:val="Général"/>
          <w:gallery w:val="placeholder"/>
        </w:category>
        <w:types>
          <w:type w:val="bbPlcHdr"/>
        </w:types>
        <w:behaviors>
          <w:behavior w:val="content"/>
        </w:behaviors>
        <w:guid w:val="{56D5DE2E-BD2F-43AB-8A6D-693B11718DAD}"/>
      </w:docPartPr>
      <w:docPartBody>
        <w:p w:rsidR="00000000" w:rsidRDefault="00E74050" w:rsidP="00E74050">
          <w:pPr>
            <w:pStyle w:val="0637751005184150B4D1C61C4E4F38CA"/>
          </w:pPr>
          <w:r>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050"/>
    <w:rsid w:val="009F0041"/>
    <w:rsid w:val="00E7405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E74050"/>
    <w:rPr>
      <w:color w:val="808080"/>
    </w:rPr>
  </w:style>
  <w:style w:type="paragraph" w:customStyle="1" w:styleId="AB98FF28166448EC8B2CA5C9C9E7805D">
    <w:name w:val="AB98FF28166448EC8B2CA5C9C9E7805D"/>
    <w:rsid w:val="00E74050"/>
  </w:style>
  <w:style w:type="paragraph" w:customStyle="1" w:styleId="0637751005184150B4D1C61C4E4F38CA">
    <w:name w:val="0637751005184150B4D1C61C4E4F38CA"/>
    <w:rsid w:val="00E740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1424</Words>
  <Characters>7833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2026-07-15T14:37:00Z</dcterms:created>
  <dcterms:modified xsi:type="dcterms:W3CDTF">2026-07-15T14:38:00Z</dcterms:modified>
</cp:coreProperties>
</file>